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40" w:lineRule="exact"/>
        <w:jc w:val="left"/>
        <w:rPr>
          <w:rFonts w:hint="default" w:ascii="Times New Roman" w:hAnsi="Times New Roman" w:eastAsia="黑体" w:cs="Times New Roman"/>
          <w:bCs/>
          <w:spacing w:val="-6"/>
          <w:kern w:val="44"/>
          <w:sz w:val="32"/>
          <w:szCs w:val="32"/>
          <w:lang w:val="en-US" w:eastAsia="zh-CN"/>
        </w:rPr>
      </w:pPr>
    </w:p>
    <w:p>
      <w:pPr>
        <w:spacing w:line="540" w:lineRule="exact"/>
        <w:jc w:val="left"/>
        <w:rPr>
          <w:rFonts w:hint="default" w:ascii="Times New Roman" w:hAnsi="Times New Roman" w:eastAsia="黑体" w:cs="Times New Roman"/>
          <w:bCs/>
          <w:spacing w:val="-6"/>
          <w:kern w:val="44"/>
          <w:sz w:val="32"/>
          <w:szCs w:val="32"/>
          <w:lang w:val="en-US" w:eastAsia="zh-CN"/>
        </w:rPr>
      </w:pPr>
    </w:p>
    <w:p>
      <w:pPr>
        <w:spacing w:line="540" w:lineRule="exact"/>
        <w:jc w:val="center"/>
        <w:outlineLvl w:val="0"/>
        <w:rPr>
          <w:rFonts w:ascii="Times New Roman" w:hAnsi="Times New Roman" w:eastAsia="方正小标宋简体" w:cs="Times New Roman"/>
          <w:bCs/>
          <w:spacing w:val="-6"/>
          <w:kern w:val="44"/>
          <w:sz w:val="44"/>
          <w:szCs w:val="44"/>
        </w:rPr>
      </w:pPr>
      <w:r>
        <w:rPr>
          <w:rFonts w:ascii="Times New Roman" w:hAnsi="Times New Roman" w:eastAsia="方正小标宋简体" w:cs="Times New Roman"/>
          <w:bCs/>
          <w:spacing w:val="-6"/>
          <w:kern w:val="44"/>
          <w:sz w:val="44"/>
          <w:szCs w:val="44"/>
        </w:rPr>
        <w:t>浙江省电力中长期交易规则</w:t>
      </w:r>
    </w:p>
    <w:p>
      <w:pPr>
        <w:spacing w:line="540" w:lineRule="exact"/>
        <w:jc w:val="center"/>
        <w:outlineLvl w:val="0"/>
        <w:rPr>
          <w:rFonts w:ascii="Times New Roman" w:hAnsi="Times New Roman" w:eastAsia="方正小标宋简体" w:cs="Times New Roman"/>
          <w:bCs/>
          <w:spacing w:val="-6"/>
          <w:kern w:val="44"/>
          <w:sz w:val="44"/>
          <w:szCs w:val="44"/>
        </w:rPr>
      </w:pPr>
      <w:r>
        <w:rPr>
          <w:rFonts w:ascii="Times New Roman" w:hAnsi="Times New Roman" w:eastAsia="方正小标宋简体" w:cs="Times New Roman"/>
          <w:bCs/>
          <w:spacing w:val="-6"/>
          <w:kern w:val="44"/>
          <w:sz w:val="44"/>
          <w:szCs w:val="44"/>
        </w:rPr>
        <w:t>（202</w:t>
      </w:r>
      <w:r>
        <w:rPr>
          <w:rFonts w:hint="eastAsia" w:ascii="Times New Roman" w:hAnsi="Times New Roman" w:eastAsia="方正小标宋简体" w:cs="Times New Roman"/>
          <w:bCs/>
          <w:spacing w:val="-6"/>
          <w:kern w:val="44"/>
          <w:sz w:val="44"/>
          <w:szCs w:val="44"/>
          <w:lang w:val="en-US" w:eastAsia="zh-CN"/>
        </w:rPr>
        <w:t>3</w:t>
      </w:r>
      <w:r>
        <w:rPr>
          <w:rFonts w:ascii="Times New Roman" w:hAnsi="Times New Roman" w:eastAsia="方正小标宋简体" w:cs="Times New Roman"/>
          <w:bCs/>
          <w:spacing w:val="-6"/>
          <w:kern w:val="44"/>
          <w:sz w:val="44"/>
          <w:szCs w:val="44"/>
        </w:rPr>
        <w:t>年修订版</w:t>
      </w:r>
      <w:r>
        <w:rPr>
          <w:rFonts w:hint="eastAsia" w:ascii="Times New Roman" w:hAnsi="Times New Roman" w:eastAsia="方正小标宋简体" w:cs="Times New Roman"/>
          <w:bCs/>
          <w:spacing w:val="-6"/>
          <w:kern w:val="44"/>
          <w:sz w:val="44"/>
          <w:szCs w:val="44"/>
          <w:lang w:eastAsia="zh-CN"/>
        </w:rPr>
        <w:t>，</w:t>
      </w:r>
      <w:r>
        <w:rPr>
          <w:rFonts w:hint="eastAsia" w:ascii="Times New Roman" w:hAnsi="Times New Roman" w:eastAsia="方正小标宋简体" w:cs="Times New Roman"/>
          <w:bCs/>
          <w:spacing w:val="-6"/>
          <w:kern w:val="44"/>
          <w:sz w:val="44"/>
          <w:szCs w:val="44"/>
          <w:lang w:val="en-US" w:eastAsia="zh-CN"/>
        </w:rPr>
        <w:t>征求意见稿</w:t>
      </w:r>
      <w:r>
        <w:rPr>
          <w:rFonts w:ascii="Times New Roman" w:hAnsi="Times New Roman" w:eastAsia="方正小标宋简体" w:cs="Times New Roman"/>
          <w:bCs/>
          <w:spacing w:val="-6"/>
          <w:kern w:val="44"/>
          <w:sz w:val="44"/>
          <w:szCs w:val="44"/>
        </w:rPr>
        <w:t>）</w:t>
      </w:r>
    </w:p>
    <w:p>
      <w:pPr>
        <w:spacing w:line="540" w:lineRule="exact"/>
        <w:jc w:val="center"/>
        <w:rPr>
          <w:rFonts w:ascii="Times New Roman" w:hAnsi="Times New Roman" w:eastAsia="仿宋_GB2312" w:cs="Times New Roman"/>
          <w:b/>
          <w:spacing w:val="-6"/>
          <w:sz w:val="32"/>
          <w:szCs w:val="20"/>
        </w:rPr>
      </w:pPr>
    </w:p>
    <w:p>
      <w:pPr>
        <w:numPr>
          <w:ilvl w:val="0"/>
          <w:numId w:val="3"/>
        </w:numPr>
        <w:spacing w:line="540" w:lineRule="exact"/>
        <w:ind w:left="4961" w:hanging="1821"/>
        <w:jc w:val="both"/>
        <w:outlineLvl w:val="0"/>
        <w:rPr>
          <w:rFonts w:ascii="Times New Roman" w:hAnsi="Times New Roman" w:eastAsia="黑体" w:cs="Times New Roman"/>
          <w:spacing w:val="-6"/>
          <w:sz w:val="32"/>
          <w:szCs w:val="32"/>
        </w:rPr>
      </w:pPr>
      <w:r>
        <w:rPr>
          <w:rFonts w:ascii="Times New Roman" w:hAnsi="Times New Roman" w:eastAsia="黑体" w:cs="Times New Roman"/>
          <w:spacing w:val="-6"/>
          <w:sz w:val="32"/>
          <w:szCs w:val="32"/>
        </w:rPr>
        <w:t>总则</w:t>
      </w:r>
    </w:p>
    <w:p>
      <w:pPr>
        <w:numPr>
          <w:ilvl w:val="0"/>
          <w:numId w:val="4"/>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根据国家发展改革委、国家能源局《电力中长期交易基本规则》（发改能源规〔2020〕889号）《关于进一步深化燃煤上网电价市场化改革的通知》（发改价格〔2021〕1439号）《国家发改委办公厅关于组织开展电网企业代理购电工作有关事项的通知》（发改办价格〔2021〕809号）《浙江省电力体制改革综合试点方案》（浙政发〔2017〕39号）和有关法律、法规、文件规定，结合浙江实际，制定本规则。</w:t>
      </w:r>
      <w:bookmarkStart w:id="1" w:name="_GoBack"/>
      <w:bookmarkEnd w:id="1"/>
    </w:p>
    <w:p>
      <w:pPr>
        <w:numPr>
          <w:ilvl w:val="0"/>
          <w:numId w:val="4"/>
        </w:numPr>
        <w:spacing w:line="540" w:lineRule="exact"/>
        <w:ind w:left="0" w:firstLine="628" w:firstLineChars="200"/>
        <w:outlineLvl w:val="1"/>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本规则适用于浙江电力市场开展的电力中长期交易。现货市场启动后，中长期交易与现货交易衔接等相关事宜另行规定。</w:t>
      </w:r>
    </w:p>
    <w:p>
      <w:pPr>
        <w:spacing w:line="540" w:lineRule="exact"/>
        <w:ind w:firstLine="628" w:firstLineChars="200"/>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本规则所称的电力中长期交易，主要是指符合准入条件的发电企业、售电公司、电力用户等市场主体，通过自主协商、集中竞价等市场化方式，开展的年、月等电力电量交易。电力中长期交易分为电力批发交易和电力零售交易。电力批发交易是指电力用户或售电公司通过电力交易机构，与发电企业直接购买电能的交易；电力零售交易是指电力用户向售电公司购买电能的交易。</w:t>
      </w:r>
    </w:p>
    <w:p>
      <w:pPr>
        <w:numPr>
          <w:ilvl w:val="0"/>
          <w:numId w:val="4"/>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电力市场成员应严格遵守市场规则，自觉自律，不得利用市场支配地位或市场规则的缺陷，操纵市场价格、损害其他市场主体的利益。</w:t>
      </w:r>
    </w:p>
    <w:p>
      <w:pPr>
        <w:spacing w:line="540" w:lineRule="exact"/>
        <w:ind w:firstLine="628" w:firstLineChars="200"/>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市场主体有自主交易的权利，任何单位和个人不得非法干预市场正常运行。</w:t>
      </w:r>
    </w:p>
    <w:p>
      <w:pPr>
        <w:numPr>
          <w:ilvl w:val="0"/>
          <w:numId w:val="4"/>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浙江省发展和改革委员会（以下简称省发展改革委）、国家能源局浙江监管办公室（以下简称浙江能源监管办）、浙江省能源局（以下简称省能源局）共同牵头编制或修订本规则，根据职能依法履行监管职责。</w:t>
      </w:r>
    </w:p>
    <w:p>
      <w:pPr>
        <w:numPr>
          <w:ilvl w:val="0"/>
          <w:numId w:val="3"/>
        </w:numPr>
        <w:spacing w:line="540" w:lineRule="exact"/>
        <w:ind w:left="15" w:hanging="15"/>
        <w:jc w:val="center"/>
        <w:outlineLvl w:val="0"/>
        <w:rPr>
          <w:rFonts w:ascii="Times New Roman" w:hAnsi="Times New Roman" w:eastAsia="黑体" w:cs="Times New Roman"/>
          <w:spacing w:val="-6"/>
          <w:sz w:val="32"/>
          <w:szCs w:val="32"/>
        </w:rPr>
      </w:pPr>
      <w:r>
        <w:rPr>
          <w:rFonts w:ascii="Times New Roman" w:hAnsi="Times New Roman" w:eastAsia="黑体" w:cs="Times New Roman"/>
          <w:spacing w:val="-6"/>
          <w:sz w:val="32"/>
          <w:szCs w:val="32"/>
        </w:rPr>
        <w:t>市场成员</w:t>
      </w:r>
    </w:p>
    <w:p>
      <w:pPr>
        <w:numPr>
          <w:ilvl w:val="0"/>
          <w:numId w:val="4"/>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市场成员包括各类发电企业、电网企业、售电公司、电力交易机构、电力调度机构、电力用户、储能企业等。</w:t>
      </w:r>
    </w:p>
    <w:p>
      <w:pPr>
        <w:numPr>
          <w:ilvl w:val="0"/>
          <w:numId w:val="5"/>
        </w:numPr>
        <w:spacing w:line="540" w:lineRule="exact"/>
        <w:ind w:left="1125" w:hanging="1125"/>
        <w:jc w:val="center"/>
        <w:outlineLvl w:val="1"/>
        <w:rPr>
          <w:rFonts w:ascii="Times New Roman" w:hAnsi="Times New Roman" w:eastAsia="仿宋_GB2312" w:cs="Times New Roman"/>
          <w:b/>
          <w:spacing w:val="-6"/>
          <w:sz w:val="32"/>
          <w:szCs w:val="32"/>
        </w:rPr>
      </w:pPr>
      <w:r>
        <w:rPr>
          <w:rFonts w:ascii="Times New Roman" w:hAnsi="Times New Roman" w:eastAsia="仿宋_GB2312" w:cs="Times New Roman"/>
          <w:b/>
          <w:spacing w:val="-6"/>
          <w:sz w:val="32"/>
          <w:szCs w:val="32"/>
        </w:rPr>
        <w:t>权利和义务</w:t>
      </w:r>
    </w:p>
    <w:p>
      <w:pPr>
        <w:numPr>
          <w:ilvl w:val="0"/>
          <w:numId w:val="4"/>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发电企业：</w:t>
      </w:r>
    </w:p>
    <w:p>
      <w:pPr>
        <w:numPr>
          <w:ilvl w:val="0"/>
          <w:numId w:val="6"/>
        </w:numPr>
        <w:autoSpaceDE w:val="0"/>
        <w:autoSpaceDN w:val="0"/>
        <w:spacing w:line="540" w:lineRule="exact"/>
        <w:ind w:firstLine="62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按规则参与电力交易，签订和履行各类交易合同，按时完成电费结算；</w:t>
      </w:r>
    </w:p>
    <w:p>
      <w:pPr>
        <w:numPr>
          <w:ilvl w:val="0"/>
          <w:numId w:val="6"/>
        </w:numPr>
        <w:autoSpaceDE w:val="0"/>
        <w:autoSpaceDN w:val="0"/>
        <w:spacing w:line="540" w:lineRule="exact"/>
        <w:ind w:firstLine="62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获得公平的输电服务和电网接入服务；</w:t>
      </w:r>
    </w:p>
    <w:p>
      <w:pPr>
        <w:numPr>
          <w:ilvl w:val="0"/>
          <w:numId w:val="6"/>
        </w:numPr>
        <w:autoSpaceDE w:val="0"/>
        <w:autoSpaceDN w:val="0"/>
        <w:spacing w:line="540" w:lineRule="exact"/>
        <w:ind w:firstLine="62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签订并执行并网调度协议，服从电力调度机构的统一调度；</w:t>
      </w:r>
    </w:p>
    <w:p>
      <w:pPr>
        <w:numPr>
          <w:ilvl w:val="0"/>
          <w:numId w:val="6"/>
        </w:numPr>
        <w:autoSpaceDE w:val="0"/>
        <w:autoSpaceDN w:val="0"/>
        <w:spacing w:line="540" w:lineRule="exact"/>
        <w:ind w:firstLine="62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按照电力企业信息披露和报送等有关规定披露和提供信息，获得市场化交易和输配电服务等相关信息；</w:t>
      </w:r>
    </w:p>
    <w:p>
      <w:pPr>
        <w:numPr>
          <w:ilvl w:val="0"/>
          <w:numId w:val="6"/>
        </w:numPr>
        <w:autoSpaceDE w:val="0"/>
        <w:autoSpaceDN w:val="0"/>
        <w:spacing w:line="540" w:lineRule="exact"/>
        <w:ind w:firstLine="62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具备满足参与市场化交易要求的技术支持手段；</w:t>
      </w:r>
    </w:p>
    <w:p>
      <w:pPr>
        <w:numPr>
          <w:ilvl w:val="0"/>
          <w:numId w:val="6"/>
        </w:numPr>
        <w:spacing w:line="540" w:lineRule="exact"/>
        <w:ind w:firstLine="620"/>
        <w:rPr>
          <w:rFonts w:ascii="Times New Roman" w:hAnsi="Times New Roman" w:eastAsia="仿宋_GB2312" w:cs="Times New Roman"/>
          <w:spacing w:val="-6"/>
          <w:sz w:val="32"/>
          <w:szCs w:val="32"/>
        </w:rPr>
      </w:pPr>
      <w:r>
        <w:rPr>
          <w:rFonts w:ascii="Times New Roman" w:hAnsi="Times New Roman" w:eastAsia="仿宋_GB2312" w:cs="Times New Roman"/>
          <w:spacing w:val="-6"/>
          <w:kern w:val="0"/>
          <w:sz w:val="32"/>
          <w:szCs w:val="32"/>
        </w:rPr>
        <w:t>法律法规规定的其他权利和义务。</w:t>
      </w:r>
    </w:p>
    <w:p>
      <w:pPr>
        <w:numPr>
          <w:ilvl w:val="0"/>
          <w:numId w:val="4"/>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电力用户：</w:t>
      </w:r>
    </w:p>
    <w:p>
      <w:pPr>
        <w:autoSpaceDE w:val="0"/>
        <w:autoSpaceDN w:val="0"/>
        <w:spacing w:line="540" w:lineRule="exact"/>
        <w:ind w:firstLine="628"/>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（一）按照规则参与电力市场化交易，签订和履行购售电合同、输配电服务合同，提供市场化交易的电力电量需求、典型负荷曲线以及相关生产信息；</w:t>
      </w:r>
    </w:p>
    <w:p>
      <w:pPr>
        <w:autoSpaceDE w:val="0"/>
        <w:autoSpaceDN w:val="0"/>
        <w:spacing w:line="540" w:lineRule="exact"/>
        <w:ind w:firstLine="628" w:firstLineChars="20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（二）获得公平的输配电服务和电网接入服务，按时支付</w:t>
      </w:r>
      <w:r>
        <w:rPr>
          <w:rFonts w:hint="eastAsia" w:ascii="Times New Roman" w:hAnsi="Times New Roman" w:eastAsia="仿宋_GB2312" w:cs="Times New Roman"/>
          <w:spacing w:val="-6"/>
          <w:sz w:val="32"/>
          <w:szCs w:val="32"/>
          <w:highlight w:val="none"/>
          <w:lang w:val="en-US" w:eastAsia="zh-CN" w:bidi="ar"/>
        </w:rPr>
        <w:t>上网电费、</w:t>
      </w:r>
      <w:r>
        <w:rPr>
          <w:rFonts w:hint="eastAsia" w:ascii="Times New Roman" w:hAnsi="Times New Roman" w:eastAsia="仿宋_GB2312" w:cs="Times New Roman"/>
          <w:spacing w:val="-6"/>
          <w:kern w:val="2"/>
          <w:sz w:val="32"/>
          <w:szCs w:val="32"/>
          <w:highlight w:val="none"/>
          <w:lang w:val="en-US" w:eastAsia="zh-CN" w:bidi="ar"/>
        </w:rPr>
        <w:t>上网环节线损费用、输配电费、系统运行费用</w:t>
      </w:r>
      <w:r>
        <w:rPr>
          <w:rFonts w:ascii="Times New Roman" w:hAnsi="Times New Roman" w:eastAsia="仿宋_GB2312" w:cs="Times New Roman"/>
          <w:spacing w:val="-6"/>
          <w:kern w:val="0"/>
          <w:sz w:val="32"/>
          <w:szCs w:val="32"/>
        </w:rPr>
        <w:t>、政府性基金及附加等；</w:t>
      </w:r>
    </w:p>
    <w:p>
      <w:pPr>
        <w:autoSpaceDE w:val="0"/>
        <w:autoSpaceDN w:val="0"/>
        <w:spacing w:line="540" w:lineRule="exact"/>
        <w:ind w:firstLine="628" w:firstLineChars="20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（三）依法依规披露和提供信息，获得市场化交易和输配电服务等相关信息；</w:t>
      </w:r>
    </w:p>
    <w:p>
      <w:pPr>
        <w:autoSpaceDE w:val="0"/>
        <w:autoSpaceDN w:val="0"/>
        <w:spacing w:line="540" w:lineRule="exact"/>
        <w:ind w:firstLine="628" w:firstLineChars="20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（四）服从电力调度机构统一调度，在系统特殊运行状况下（如事故、严重供不应求等）按电力调度机构要求安排用电；</w:t>
      </w:r>
    </w:p>
    <w:p>
      <w:pPr>
        <w:autoSpaceDE w:val="0"/>
        <w:autoSpaceDN w:val="0"/>
        <w:spacing w:line="540" w:lineRule="exact"/>
        <w:ind w:firstLine="628" w:firstLineChars="20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（五）遵守政府电力管理部门有关电力需求侧管理规定，执行有序用电管理，配合开展错避峰；</w:t>
      </w:r>
    </w:p>
    <w:p>
      <w:pPr>
        <w:autoSpaceDE w:val="0"/>
        <w:autoSpaceDN w:val="0"/>
        <w:spacing w:line="540" w:lineRule="exact"/>
        <w:ind w:firstLine="628" w:firstLineChars="20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（六）依法依规履行清洁能源消纳责任；</w:t>
      </w:r>
    </w:p>
    <w:p>
      <w:pPr>
        <w:autoSpaceDE w:val="0"/>
        <w:autoSpaceDN w:val="0"/>
        <w:spacing w:line="540" w:lineRule="exact"/>
        <w:ind w:firstLine="628" w:firstLineChars="20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（七）具备满足参与市场化交易要求的技术支持手段；</w:t>
      </w:r>
    </w:p>
    <w:p>
      <w:pPr>
        <w:autoSpaceDE w:val="0"/>
        <w:autoSpaceDN w:val="0"/>
        <w:spacing w:line="540" w:lineRule="exact"/>
        <w:ind w:firstLine="628" w:firstLineChars="20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（八）法律法规规定的其他权利和义务。</w:t>
      </w:r>
    </w:p>
    <w:p>
      <w:pPr>
        <w:numPr>
          <w:ilvl w:val="0"/>
          <w:numId w:val="4"/>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不拥有配电网运营权的售电公司</w:t>
      </w:r>
    </w:p>
    <w:p>
      <w:pPr>
        <w:autoSpaceDE w:val="0"/>
        <w:autoSpaceDN w:val="0"/>
        <w:spacing w:line="540" w:lineRule="exact"/>
        <w:ind w:firstLine="628" w:firstLineChars="20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（一）按照规则参与电力市场化交易，签订和履行市场化交易合同，按时完成零售侧电费账单确认。提供电力中长期交易的电力电量需求、典型负荷曲线及其他生产、经营基本信息；</w:t>
      </w:r>
    </w:p>
    <w:p>
      <w:pPr>
        <w:autoSpaceDE w:val="0"/>
        <w:autoSpaceDN w:val="0"/>
        <w:spacing w:line="540" w:lineRule="exact"/>
        <w:ind w:firstLine="628" w:firstLineChars="20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（二）已在电力交易机构注册的售电公司不受供电营业区限制，可在省内多个供电营业区参与市场化交易。交易对象为全省工商业电力用户；</w:t>
      </w:r>
    </w:p>
    <w:p>
      <w:pPr>
        <w:autoSpaceDE w:val="0"/>
        <w:autoSpaceDN w:val="0"/>
        <w:spacing w:line="540" w:lineRule="exact"/>
        <w:ind w:firstLine="628" w:firstLineChars="20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（三）依法依规披露和提供信息，在政府指定网站上公示公司资产、经营状况等情况和信用承诺，依法对公司重大事项进行公告，并定期公布公司年报；</w:t>
      </w:r>
    </w:p>
    <w:p>
      <w:pPr>
        <w:autoSpaceDE w:val="0"/>
        <w:autoSpaceDN w:val="0"/>
        <w:spacing w:line="540" w:lineRule="exact"/>
        <w:ind w:firstLine="628" w:firstLineChars="20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（四）按照规则向电力交易机构、电力调度机构提供签约零售用户的总交易电力电量需</w:t>
      </w:r>
      <w:r>
        <w:rPr>
          <w:rFonts w:hint="eastAsia" w:ascii="Times New Roman" w:hAnsi="Times New Roman" w:cs="Times New Roman"/>
          <w:spacing w:val="-6"/>
          <w:kern w:val="0"/>
          <w:sz w:val="32"/>
          <w:szCs w:val="32"/>
          <w:lang w:val="en-US" w:eastAsia="zh-CN"/>
        </w:rPr>
        <w:t>求</w:t>
      </w:r>
      <w:r>
        <w:rPr>
          <w:rFonts w:ascii="Times New Roman" w:hAnsi="Times New Roman" w:eastAsia="仿宋_GB2312" w:cs="Times New Roman"/>
          <w:spacing w:val="-6"/>
          <w:kern w:val="0"/>
          <w:sz w:val="32"/>
          <w:szCs w:val="32"/>
        </w:rPr>
        <w:t>、典型负荷曲线以及其他生产信息，获得市场交易、输配电服务和签约市场主体的基础信息等相关信息，承担用户信息保密义务；</w:t>
      </w:r>
    </w:p>
    <w:p>
      <w:pPr>
        <w:autoSpaceDE w:val="0"/>
        <w:autoSpaceDN w:val="0"/>
        <w:spacing w:line="540" w:lineRule="exact"/>
        <w:ind w:firstLine="628" w:firstLineChars="20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（五）依法依规履行清洁能源消纳责任；</w:t>
      </w:r>
    </w:p>
    <w:p>
      <w:pPr>
        <w:autoSpaceDE w:val="0"/>
        <w:autoSpaceDN w:val="0"/>
        <w:spacing w:line="540" w:lineRule="exact"/>
        <w:ind w:firstLine="628" w:firstLineChars="20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（六）具备满足参与市场化交易要求的技术支持手段；</w:t>
      </w:r>
    </w:p>
    <w:p>
      <w:pPr>
        <w:spacing w:line="540" w:lineRule="exact"/>
        <w:ind w:firstLine="628" w:firstLineChars="200"/>
        <w:rPr>
          <w:rFonts w:ascii="Times New Roman" w:hAnsi="Times New Roman" w:eastAsia="仿宋_GB2312" w:cs="Times New Roman"/>
          <w:spacing w:val="-6"/>
          <w:sz w:val="32"/>
          <w:szCs w:val="32"/>
        </w:rPr>
      </w:pPr>
      <w:r>
        <w:rPr>
          <w:rFonts w:ascii="Times New Roman" w:hAnsi="Times New Roman" w:eastAsia="仿宋_GB2312" w:cs="Times New Roman"/>
          <w:spacing w:val="-6"/>
          <w:kern w:val="0"/>
          <w:sz w:val="32"/>
          <w:szCs w:val="32"/>
        </w:rPr>
        <w:t>（七）法律法规规定的其他权利和义务。</w:t>
      </w:r>
    </w:p>
    <w:p>
      <w:pPr>
        <w:numPr>
          <w:ilvl w:val="0"/>
          <w:numId w:val="4"/>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拥有配电网运营权的售电公司：</w:t>
      </w:r>
    </w:p>
    <w:p>
      <w:pPr>
        <w:numPr>
          <w:ilvl w:val="0"/>
          <w:numId w:val="7"/>
        </w:numPr>
        <w:autoSpaceDE w:val="0"/>
        <w:autoSpaceDN w:val="0"/>
        <w:spacing w:line="540" w:lineRule="exact"/>
        <w:ind w:firstLine="620"/>
        <w:outlineLvl w:val="3"/>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具备不拥有配电网运营权的售电公司全部的权利和义务；</w:t>
      </w:r>
    </w:p>
    <w:p>
      <w:pPr>
        <w:numPr>
          <w:ilvl w:val="0"/>
          <w:numId w:val="7"/>
        </w:numPr>
        <w:autoSpaceDE w:val="0"/>
        <w:autoSpaceDN w:val="0"/>
        <w:spacing w:line="540" w:lineRule="exact"/>
        <w:ind w:firstLine="62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拥有和承担配电区域内与电网企业相同的权利和义务，按国家有关规定和合同约定履行保底供电服务和普遍服务；</w:t>
      </w:r>
    </w:p>
    <w:p>
      <w:pPr>
        <w:numPr>
          <w:ilvl w:val="0"/>
          <w:numId w:val="7"/>
        </w:numPr>
        <w:autoSpaceDE w:val="0"/>
        <w:autoSpaceDN w:val="0"/>
        <w:spacing w:line="540" w:lineRule="exact"/>
        <w:ind w:firstLine="62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承担配电网安全责任，按照要求提供安全、可靠的电力供应，确保承诺的供电质量符合国家、电力行业和浙江省标准；</w:t>
      </w:r>
    </w:p>
    <w:p>
      <w:pPr>
        <w:numPr>
          <w:ilvl w:val="0"/>
          <w:numId w:val="7"/>
        </w:numPr>
        <w:autoSpaceDE w:val="0"/>
        <w:autoSpaceDN w:val="0"/>
        <w:spacing w:line="540" w:lineRule="exact"/>
        <w:ind w:firstLine="62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按照要求负责配电网络的投资、建设、运营等工作，无歧视提供配电服务，不得干预用户自主选择售电公司；</w:t>
      </w:r>
    </w:p>
    <w:p>
      <w:pPr>
        <w:numPr>
          <w:ilvl w:val="0"/>
          <w:numId w:val="7"/>
        </w:numPr>
        <w:autoSpaceDE w:val="0"/>
        <w:autoSpaceDN w:val="0"/>
        <w:spacing w:line="540" w:lineRule="exact"/>
        <w:ind w:firstLine="62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同一配电区域内只能有一家企业拥有该配电网运营权，并按规定收取由发电企业或售电公司与电力用户协商确定的</w:t>
      </w:r>
      <w:r>
        <w:rPr>
          <w:rFonts w:ascii="Times New Roman" w:hAnsi="Times New Roman" w:eastAsia="仿宋_GB2312" w:cs="Times New Roman"/>
          <w:spacing w:val="-6"/>
          <w:kern w:val="0"/>
          <w:sz w:val="32"/>
          <w:szCs w:val="32"/>
          <w:highlight w:val="none"/>
        </w:rPr>
        <w:t>市场交易价格</w:t>
      </w:r>
      <w:r>
        <w:rPr>
          <w:rFonts w:ascii="Times New Roman" w:hAnsi="Times New Roman" w:eastAsia="仿宋_GB2312" w:cs="Times New Roman"/>
          <w:spacing w:val="-6"/>
          <w:kern w:val="0"/>
          <w:sz w:val="32"/>
          <w:szCs w:val="32"/>
        </w:rPr>
        <w:t>、</w:t>
      </w:r>
      <w:r>
        <w:rPr>
          <w:rFonts w:hint="eastAsia" w:ascii="Times New Roman" w:hAnsi="Times New Roman" w:cs="Times New Roman"/>
          <w:spacing w:val="-6"/>
          <w:sz w:val="32"/>
          <w:szCs w:val="32"/>
          <w:lang w:val="en-US" w:eastAsia="zh-CN"/>
        </w:rPr>
        <w:t>分摊（享）费用、</w:t>
      </w:r>
      <w:r>
        <w:rPr>
          <w:rFonts w:hint="eastAsia" w:ascii="Times New Roman" w:hAnsi="Times New Roman" w:eastAsia="仿宋_GB2312" w:cs="Times New Roman"/>
          <w:spacing w:val="-6"/>
          <w:kern w:val="0"/>
          <w:sz w:val="32"/>
          <w:szCs w:val="32"/>
        </w:rPr>
        <w:t>上网环节线损费用、</w:t>
      </w:r>
      <w:r>
        <w:rPr>
          <w:rFonts w:ascii="Times New Roman" w:hAnsi="Times New Roman" w:eastAsia="仿宋_GB2312" w:cs="Times New Roman"/>
          <w:spacing w:val="-6"/>
          <w:kern w:val="0"/>
          <w:sz w:val="32"/>
          <w:szCs w:val="32"/>
        </w:rPr>
        <w:t>配电网接入电压等级对应的省级电网共用网络输配电价、配电网的配电价格、</w:t>
      </w:r>
      <w:r>
        <w:rPr>
          <w:rFonts w:hint="eastAsia" w:ascii="Times New Roman" w:hAnsi="Times New Roman" w:eastAsia="仿宋_GB2312" w:cs="Times New Roman"/>
          <w:spacing w:val="-6"/>
          <w:kern w:val="0"/>
          <w:sz w:val="32"/>
          <w:szCs w:val="32"/>
        </w:rPr>
        <w:t>系统运行费用</w:t>
      </w:r>
      <w:r>
        <w:rPr>
          <w:rFonts w:ascii="Times New Roman" w:hAnsi="Times New Roman" w:eastAsia="仿宋_GB2312" w:cs="Times New Roman"/>
          <w:spacing w:val="-6"/>
          <w:kern w:val="0"/>
          <w:sz w:val="32"/>
          <w:szCs w:val="32"/>
        </w:rPr>
        <w:t>以及政府性基金及附加组成。配电区域内电力用户承担的政府性基金及附加，按国家规定执行，由配电公司代收、省级电网企业代缴；</w:t>
      </w:r>
    </w:p>
    <w:p>
      <w:pPr>
        <w:numPr>
          <w:ilvl w:val="0"/>
          <w:numId w:val="7"/>
        </w:numPr>
        <w:autoSpaceDE w:val="0"/>
        <w:autoSpaceDN w:val="0"/>
        <w:spacing w:line="540" w:lineRule="exact"/>
        <w:ind w:firstLine="62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承担保密义务，不得泄露用户信息；</w:t>
      </w:r>
    </w:p>
    <w:p>
      <w:pPr>
        <w:numPr>
          <w:ilvl w:val="0"/>
          <w:numId w:val="7"/>
        </w:numPr>
        <w:autoSpaceDE w:val="0"/>
        <w:autoSpaceDN w:val="0"/>
        <w:spacing w:line="540" w:lineRule="exact"/>
        <w:ind w:firstLine="62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法律法规规定的其他权利和义务。</w:t>
      </w:r>
    </w:p>
    <w:p>
      <w:pPr>
        <w:numPr>
          <w:ilvl w:val="0"/>
          <w:numId w:val="4"/>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电网企业：</w:t>
      </w:r>
    </w:p>
    <w:p>
      <w:pPr>
        <w:numPr>
          <w:ilvl w:val="0"/>
          <w:numId w:val="8"/>
        </w:numPr>
        <w:autoSpaceDE w:val="0"/>
        <w:autoSpaceDN w:val="0"/>
        <w:spacing w:line="540" w:lineRule="exact"/>
        <w:ind w:firstLine="620"/>
        <w:outlineLvl w:val="3"/>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保障电网以及输配电设施的安全稳定运行；</w:t>
      </w:r>
    </w:p>
    <w:p>
      <w:pPr>
        <w:numPr>
          <w:ilvl w:val="0"/>
          <w:numId w:val="8"/>
        </w:numPr>
        <w:autoSpaceDE w:val="0"/>
        <w:autoSpaceDN w:val="0"/>
        <w:spacing w:line="540" w:lineRule="exact"/>
        <w:ind w:firstLine="62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为市场主体提供公平的输配电服务和电网接入服务，提供报装、计量、抄表、收费等各类供电服务</w:t>
      </w:r>
    </w:p>
    <w:p>
      <w:pPr>
        <w:numPr>
          <w:ilvl w:val="0"/>
          <w:numId w:val="8"/>
        </w:numPr>
        <w:autoSpaceDE w:val="0"/>
        <w:autoSpaceDN w:val="0"/>
        <w:spacing w:line="540" w:lineRule="exact"/>
        <w:ind w:firstLine="62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建设、运行、维护和管理电网配套技术支持系统，服从电力调度机构的统一调度；</w:t>
      </w:r>
    </w:p>
    <w:p>
      <w:pPr>
        <w:numPr>
          <w:ilvl w:val="0"/>
          <w:numId w:val="8"/>
        </w:numPr>
        <w:autoSpaceDE w:val="0"/>
        <w:autoSpaceDN w:val="0"/>
        <w:spacing w:line="540" w:lineRule="exact"/>
        <w:ind w:firstLine="62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按照电力企业信息披露和报送等有关规定披露和提供信息，向电力交易机构提供支撑市场化交易和市场服务所需的相关数据，按照国家网络安全有关规定实现与电力交易机构的数据交互；</w:t>
      </w:r>
    </w:p>
    <w:p>
      <w:pPr>
        <w:numPr>
          <w:ilvl w:val="0"/>
          <w:numId w:val="8"/>
        </w:numPr>
        <w:autoSpaceDE w:val="0"/>
        <w:autoSpaceDN w:val="0"/>
        <w:spacing w:line="540" w:lineRule="exact"/>
        <w:ind w:firstLine="62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为未直接参与市场交易、已直接参与市场交易又退出的工商业用户提供代理购电服务。保障居民（含执行居民电价的学校、社会福利机构、社区服务中心等公益性事业用户，下同）、农业用电，保持价格稳定；</w:t>
      </w:r>
    </w:p>
    <w:p>
      <w:pPr>
        <w:numPr>
          <w:ilvl w:val="0"/>
          <w:numId w:val="8"/>
        </w:numPr>
        <w:autoSpaceDE w:val="0"/>
        <w:autoSpaceDN w:val="0"/>
        <w:spacing w:line="540" w:lineRule="exact"/>
        <w:ind w:firstLine="62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收取输配电费，代收代付电费和政府性基金及附加等，按时完成电费结算；</w:t>
      </w:r>
    </w:p>
    <w:p>
      <w:pPr>
        <w:numPr>
          <w:ilvl w:val="0"/>
          <w:numId w:val="8"/>
        </w:numPr>
        <w:autoSpaceDE w:val="0"/>
        <w:autoSpaceDN w:val="0"/>
        <w:spacing w:line="540" w:lineRule="exact"/>
        <w:ind w:firstLine="62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按代理购电用户电价为代理工商业用户提供代理购电服务；按目录销售电价为居民（含执行居民电价的学校、社会福利机构、社区服务中心等公益性事业用户，下同）、农业用户提供供电服务；签订和履行相应的代理购电合同和供用电合同；当售电公司不能履行配售电义务时，承担自身配电网供电区域内相关放开电力用户的代理购电服务；</w:t>
      </w:r>
    </w:p>
    <w:p>
      <w:pPr>
        <w:numPr>
          <w:ilvl w:val="0"/>
          <w:numId w:val="8"/>
        </w:numPr>
        <w:autoSpaceDE w:val="0"/>
        <w:autoSpaceDN w:val="0"/>
        <w:spacing w:line="540" w:lineRule="exact"/>
        <w:ind w:firstLine="62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考虑季节变更、节假日安排等因素定期预测代理购电工商业用户分时段用电量及典型负荷曲线，保障居民、农业用户的用电量规模单独预测；</w:t>
      </w:r>
    </w:p>
    <w:p>
      <w:pPr>
        <w:numPr>
          <w:ilvl w:val="0"/>
          <w:numId w:val="8"/>
        </w:numPr>
        <w:autoSpaceDE w:val="0"/>
        <w:autoSpaceDN w:val="0"/>
        <w:spacing w:line="540" w:lineRule="exact"/>
        <w:ind w:firstLine="62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依法依规履行清洁能源消纳责任；</w:t>
      </w:r>
    </w:p>
    <w:p>
      <w:pPr>
        <w:numPr>
          <w:ilvl w:val="0"/>
          <w:numId w:val="8"/>
        </w:numPr>
        <w:autoSpaceDE w:val="0"/>
        <w:autoSpaceDN w:val="0"/>
        <w:spacing w:line="540" w:lineRule="exact"/>
        <w:ind w:firstLine="62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法律法规规定的其他权利和义务。</w:t>
      </w:r>
    </w:p>
    <w:p>
      <w:pPr>
        <w:numPr>
          <w:ilvl w:val="0"/>
          <w:numId w:val="4"/>
        </w:numPr>
        <w:spacing w:line="540" w:lineRule="exact"/>
        <w:ind w:left="0" w:firstLine="628" w:firstLineChars="200"/>
        <w:outlineLvl w:val="2"/>
        <w:rPr>
          <w:rFonts w:ascii="Times New Roman" w:hAnsi="Times New Roman" w:eastAsia="仿宋_GB2312" w:cs="Times New Roman"/>
          <w:spacing w:val="-6"/>
          <w:kern w:val="0"/>
          <w:sz w:val="32"/>
          <w:szCs w:val="32"/>
        </w:rPr>
      </w:pPr>
      <w:r>
        <w:rPr>
          <w:rFonts w:ascii="Times New Roman" w:hAnsi="Times New Roman" w:eastAsia="仿宋_GB2312" w:cs="Times New Roman"/>
          <w:spacing w:val="-6"/>
          <w:sz w:val="32"/>
          <w:szCs w:val="32"/>
        </w:rPr>
        <w:t xml:space="preserve">  电力交易机构：</w:t>
      </w:r>
    </w:p>
    <w:p>
      <w:pPr>
        <w:numPr>
          <w:ilvl w:val="0"/>
          <w:numId w:val="9"/>
        </w:numPr>
        <w:autoSpaceDE w:val="0"/>
        <w:autoSpaceDN w:val="0"/>
        <w:spacing w:line="540" w:lineRule="exact"/>
        <w:ind w:firstLine="62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参与拟定相应电力交易规则及实施细则；</w:t>
      </w:r>
    </w:p>
    <w:p>
      <w:pPr>
        <w:numPr>
          <w:ilvl w:val="0"/>
          <w:numId w:val="9"/>
        </w:numPr>
        <w:autoSpaceDE w:val="0"/>
        <w:autoSpaceDN w:val="0"/>
        <w:spacing w:line="540" w:lineRule="exact"/>
        <w:ind w:firstLine="62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提供各类市场主体的注册服务；</w:t>
      </w:r>
    </w:p>
    <w:p>
      <w:pPr>
        <w:numPr>
          <w:ilvl w:val="0"/>
          <w:numId w:val="9"/>
        </w:numPr>
        <w:autoSpaceDE w:val="0"/>
        <w:autoSpaceDN w:val="0"/>
        <w:spacing w:line="540" w:lineRule="exact"/>
        <w:ind w:firstLine="62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按照规则组织电力市场交易，并负责交易合同的汇总管理；</w:t>
      </w:r>
    </w:p>
    <w:p>
      <w:pPr>
        <w:numPr>
          <w:ilvl w:val="0"/>
          <w:numId w:val="9"/>
        </w:numPr>
        <w:autoSpaceDE w:val="0"/>
        <w:autoSpaceDN w:val="0"/>
        <w:spacing w:line="540" w:lineRule="exact"/>
        <w:ind w:firstLine="62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提供电力交易结算依据以及相关服务，按照规定收取交易服务费；</w:t>
      </w:r>
    </w:p>
    <w:p>
      <w:pPr>
        <w:numPr>
          <w:ilvl w:val="0"/>
          <w:numId w:val="9"/>
        </w:numPr>
        <w:autoSpaceDE w:val="0"/>
        <w:autoSpaceDN w:val="0"/>
        <w:spacing w:line="540" w:lineRule="exact"/>
        <w:ind w:firstLine="620"/>
        <w:outlineLvl w:val="3"/>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建设、运营和维护电力市场化技术支持系统；</w:t>
      </w:r>
    </w:p>
    <w:p>
      <w:pPr>
        <w:numPr>
          <w:ilvl w:val="0"/>
          <w:numId w:val="9"/>
        </w:numPr>
        <w:autoSpaceDE w:val="0"/>
        <w:autoSpaceDN w:val="0"/>
        <w:spacing w:line="540" w:lineRule="exact"/>
        <w:ind w:firstLine="62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按照电力企业信息披露和报送等有关规定披露和发布信息，提供信息发布平台，为市场主体信息发布提供便利，获得市场成员提供的支撑市场化交易以及服务需求的数据等；</w:t>
      </w:r>
    </w:p>
    <w:p>
      <w:pPr>
        <w:numPr>
          <w:ilvl w:val="0"/>
          <w:numId w:val="9"/>
        </w:numPr>
        <w:autoSpaceDE w:val="0"/>
        <w:autoSpaceDN w:val="0"/>
        <w:spacing w:line="540" w:lineRule="exact"/>
        <w:ind w:firstLine="62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监测和分析市场运行情况，依法依规干预市场，预防市场风险，并于事后向省发展改革委、省能源局、浙江能源监管办及时报告；</w:t>
      </w:r>
    </w:p>
    <w:p>
      <w:pPr>
        <w:numPr>
          <w:ilvl w:val="0"/>
          <w:numId w:val="9"/>
        </w:numPr>
        <w:autoSpaceDE w:val="0"/>
        <w:autoSpaceDN w:val="0"/>
        <w:spacing w:line="540" w:lineRule="exact"/>
        <w:ind w:firstLine="62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对市场主体违反交易规则、扰乱市场秩序等违规行为向省发展改革委、省能源局、浙江能源监管办报告并配合调查；</w:t>
      </w:r>
    </w:p>
    <w:p>
      <w:pPr>
        <w:numPr>
          <w:ilvl w:val="0"/>
          <w:numId w:val="9"/>
        </w:numPr>
        <w:autoSpaceDE w:val="0"/>
        <w:autoSpaceDN w:val="0"/>
        <w:spacing w:line="540" w:lineRule="exact"/>
        <w:ind w:firstLine="62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配合开展市场主体信用评价，维护市场秩序；</w:t>
      </w:r>
    </w:p>
    <w:p>
      <w:pPr>
        <w:numPr>
          <w:ilvl w:val="0"/>
          <w:numId w:val="9"/>
        </w:numPr>
        <w:autoSpaceDE w:val="0"/>
        <w:autoSpaceDN w:val="0"/>
        <w:spacing w:line="540" w:lineRule="exact"/>
        <w:ind w:firstLine="62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法律法规规定的其他权利和义务。</w:t>
      </w:r>
    </w:p>
    <w:p>
      <w:pPr>
        <w:numPr>
          <w:ilvl w:val="0"/>
          <w:numId w:val="4"/>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 xml:space="preserve">  电力调度机构：</w:t>
      </w:r>
    </w:p>
    <w:p>
      <w:pPr>
        <w:numPr>
          <w:ilvl w:val="0"/>
          <w:numId w:val="10"/>
        </w:numPr>
        <w:autoSpaceDE w:val="0"/>
        <w:autoSpaceDN w:val="0"/>
        <w:spacing w:line="540" w:lineRule="exact"/>
        <w:ind w:firstLine="620"/>
        <w:outlineLvl w:val="3"/>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负责安全校核；</w:t>
      </w:r>
    </w:p>
    <w:p>
      <w:pPr>
        <w:numPr>
          <w:ilvl w:val="0"/>
          <w:numId w:val="10"/>
        </w:numPr>
        <w:autoSpaceDE w:val="0"/>
        <w:autoSpaceDN w:val="0"/>
        <w:spacing w:line="540" w:lineRule="exact"/>
        <w:ind w:firstLine="62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根据调度规程实施电力调度，负责系统实时平衡，确保电网安全稳定运行；</w:t>
      </w:r>
    </w:p>
    <w:p>
      <w:pPr>
        <w:numPr>
          <w:ilvl w:val="0"/>
          <w:numId w:val="10"/>
        </w:numPr>
        <w:autoSpaceDE w:val="0"/>
        <w:autoSpaceDN w:val="0"/>
        <w:spacing w:line="540" w:lineRule="exact"/>
        <w:ind w:firstLine="62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向电力交易机构提供安全约束边界和必开机组组合、必开机组发电量需求、影响限额的停电检修、关键通道可用输电容量等数据，配合电力交易机组履行市场运营职能；</w:t>
      </w:r>
    </w:p>
    <w:p>
      <w:pPr>
        <w:numPr>
          <w:ilvl w:val="0"/>
          <w:numId w:val="10"/>
        </w:numPr>
        <w:autoSpaceDE w:val="0"/>
        <w:autoSpaceDN w:val="0"/>
        <w:spacing w:line="540" w:lineRule="exact"/>
        <w:ind w:firstLine="62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合理安排电网运行方式，保障电力交易结果的执行（因电力调度机构自身原因造成实际执行与交易结果偏差时，由电力调度机构所在电网企业承担相应的经济责任），保障电力市场正常运行；</w:t>
      </w:r>
    </w:p>
    <w:p>
      <w:pPr>
        <w:numPr>
          <w:ilvl w:val="0"/>
          <w:numId w:val="10"/>
        </w:numPr>
        <w:autoSpaceDE w:val="0"/>
        <w:autoSpaceDN w:val="0"/>
        <w:spacing w:line="540" w:lineRule="exact"/>
        <w:ind w:firstLine="62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按照电力企业信息披露和报送等有关规定披露和提供电网运行的相关信息，提供支撑市场化交易以及市场服务所需的相关数据，按照国家网络安全有关规定实现与电力交易机构的数据交互；</w:t>
      </w:r>
    </w:p>
    <w:p>
      <w:pPr>
        <w:numPr>
          <w:ilvl w:val="0"/>
          <w:numId w:val="10"/>
        </w:numPr>
        <w:spacing w:line="540" w:lineRule="exact"/>
        <w:ind w:firstLine="620"/>
        <w:outlineLvl w:val="3"/>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法律法规规定的其他权利和义务。</w:t>
      </w:r>
    </w:p>
    <w:p>
      <w:pPr>
        <w:numPr>
          <w:ilvl w:val="0"/>
          <w:numId w:val="5"/>
        </w:numPr>
        <w:spacing w:line="540" w:lineRule="exact"/>
        <w:ind w:left="1125" w:hanging="1125"/>
        <w:jc w:val="center"/>
        <w:outlineLvl w:val="1"/>
        <w:rPr>
          <w:rFonts w:ascii="Times New Roman" w:hAnsi="Times New Roman" w:eastAsia="仿宋_GB2312" w:cs="Times New Roman"/>
          <w:b/>
          <w:spacing w:val="-6"/>
          <w:sz w:val="32"/>
          <w:szCs w:val="32"/>
        </w:rPr>
      </w:pPr>
      <w:r>
        <w:rPr>
          <w:rFonts w:ascii="Times New Roman" w:hAnsi="Times New Roman" w:eastAsia="仿宋_GB2312" w:cs="Times New Roman"/>
          <w:b/>
          <w:spacing w:val="-6"/>
          <w:sz w:val="32"/>
          <w:szCs w:val="32"/>
        </w:rPr>
        <w:t>市场准入与退出</w:t>
      </w:r>
    </w:p>
    <w:p>
      <w:pPr>
        <w:numPr>
          <w:ilvl w:val="0"/>
          <w:numId w:val="4"/>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 xml:space="preserve">  参与电力</w:t>
      </w:r>
      <w:r>
        <w:rPr>
          <w:rFonts w:ascii="Times New Roman" w:hAnsi="Times New Roman" w:eastAsia="仿宋_GB2312" w:cs="Times New Roman"/>
          <w:spacing w:val="-6"/>
          <w:kern w:val="0"/>
          <w:sz w:val="32"/>
          <w:szCs w:val="32"/>
        </w:rPr>
        <w:t>市场化交易的发电企业、售电公司，应当是具有法人资格、财务独立核算、信用良好、能够独立承担民事责任的经济实体。内部核算的发电企业（电网企业保留的调峰调频电厂除外）经法人单位授权，可以参与相应电力交易。</w:t>
      </w:r>
    </w:p>
    <w:p>
      <w:pPr>
        <w:numPr>
          <w:ilvl w:val="0"/>
          <w:numId w:val="4"/>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 xml:space="preserve">  市场主体资格采取注册制度。参与电力市场化的发电企业和售电公司应</w:t>
      </w:r>
      <w:r>
        <w:rPr>
          <w:rFonts w:ascii="Times New Roman" w:hAnsi="Times New Roman" w:eastAsia="仿宋_GB2312" w:cs="Times New Roman"/>
          <w:spacing w:val="-6"/>
          <w:kern w:val="0"/>
          <w:sz w:val="32"/>
          <w:szCs w:val="32"/>
        </w:rPr>
        <w:t>符合国家、浙江省有关准入条件，在浙江电力交易机构完成注册后，可参与市场交易。浙江电力交易机构根据市场主体注册情况，及时汇总形成市场主体目录，并向浙江能源主管部门备案，及时向社会公布。</w:t>
      </w:r>
    </w:p>
    <w:p>
      <w:pPr>
        <w:numPr>
          <w:ilvl w:val="0"/>
          <w:numId w:val="4"/>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 xml:space="preserve">  发电企业市场准入条件：</w:t>
      </w:r>
    </w:p>
    <w:p>
      <w:pPr>
        <w:numPr>
          <w:ilvl w:val="0"/>
          <w:numId w:val="11"/>
        </w:numPr>
        <w:spacing w:line="540" w:lineRule="exact"/>
        <w:ind w:firstLine="62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依法取得发电项目核准或备案文件，依法取得或者豁免取得电力业务许可证（发电类）；新投产机组在取得电力业务许可证前，按电力业务许可及机组进入商业运营有关规定参与市场交易；</w:t>
      </w:r>
    </w:p>
    <w:p>
      <w:pPr>
        <w:numPr>
          <w:ilvl w:val="0"/>
          <w:numId w:val="11"/>
        </w:numPr>
        <w:spacing w:line="540" w:lineRule="exact"/>
        <w:ind w:firstLine="612"/>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并网自备电厂参与电力市场化交易，须公平承担发电企业社会责任、承担国家依法合规设立的政府性基金及附加以及政策性交叉补贴、支付系统备用费，取得电力业务许可证（发电类），达到能效、环保要求，并参与电网辅助服务与考核；</w:t>
      </w:r>
    </w:p>
    <w:p>
      <w:pPr>
        <w:spacing w:line="540" w:lineRule="exact"/>
        <w:ind w:firstLine="628" w:firstLineChars="20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三）除居民、农业相关保障性电源外，其它各类电源的省内外发电企业参与电力市场化交易，省外以点对网专线输电方式（含网对网专线输电但明确配套发电机组的情况）向浙江省送电的发电企业，视同省内发电机组参与浙江电力市场化交易。</w:t>
      </w:r>
    </w:p>
    <w:p>
      <w:pPr>
        <w:numPr>
          <w:ilvl w:val="0"/>
          <w:numId w:val="4"/>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 xml:space="preserve">  电力用户市场准入条件：</w:t>
      </w:r>
    </w:p>
    <w:p>
      <w:pPr>
        <w:spacing w:line="540" w:lineRule="exact"/>
        <w:ind w:firstLine="628" w:firstLineChars="20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浙江省内全部工商业用户。其中，直接与发电企业开展电力交易的工商业用户统称为“批发市场用户”，110kV及以上的电力用户可以选择参与电力批发交易,并视情况扩大批发市场用户参与电压等级范围；其余工商业用户统称为“零售用户”，由售电公司代理参与电力零售交易。</w:t>
      </w:r>
    </w:p>
    <w:p>
      <w:pPr>
        <w:numPr>
          <w:ilvl w:val="0"/>
          <w:numId w:val="12"/>
        </w:numPr>
        <w:spacing w:line="540" w:lineRule="exact"/>
        <w:ind w:firstLine="62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拥有燃煤自备电厂的用户应当按规定承担国家政府性基金及附加、政策性交叉补贴和系统备用费等；</w:t>
      </w:r>
    </w:p>
    <w:p>
      <w:pPr>
        <w:numPr>
          <w:ilvl w:val="0"/>
          <w:numId w:val="12"/>
        </w:numPr>
        <w:spacing w:line="540" w:lineRule="exact"/>
        <w:ind w:firstLine="62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符合电网接入规范，满足电网安全技术要求，与电网企业签订正式供用电协议；</w:t>
      </w:r>
    </w:p>
    <w:p>
      <w:pPr>
        <w:numPr>
          <w:ilvl w:val="0"/>
          <w:numId w:val="12"/>
        </w:numPr>
        <w:spacing w:line="540" w:lineRule="exact"/>
        <w:ind w:firstLine="620"/>
        <w:outlineLvl w:val="3"/>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微电网用户应满足微电网接入系统的条件；</w:t>
      </w:r>
    </w:p>
    <w:p>
      <w:pPr>
        <w:numPr>
          <w:ilvl w:val="0"/>
          <w:numId w:val="12"/>
        </w:numPr>
        <w:spacing w:line="540" w:lineRule="exact"/>
        <w:ind w:firstLine="62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具备相应的计量能力或者替代技术手段，满足市场计量和结算的要求。</w:t>
      </w:r>
    </w:p>
    <w:p>
      <w:pPr>
        <w:numPr>
          <w:ilvl w:val="0"/>
          <w:numId w:val="4"/>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 xml:space="preserve">  售电公司市场准入条件：</w:t>
      </w:r>
    </w:p>
    <w:p>
      <w:pPr>
        <w:autoSpaceDE w:val="0"/>
        <w:autoSpaceDN w:val="0"/>
        <w:spacing w:line="540" w:lineRule="exact"/>
        <w:ind w:firstLine="628" w:firstLineChars="20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（一）依照《中华人民共和国公司法》登记注册的企业法人。</w:t>
      </w:r>
    </w:p>
    <w:p>
      <w:pPr>
        <w:autoSpaceDE w:val="0"/>
        <w:autoSpaceDN w:val="0"/>
        <w:spacing w:line="540" w:lineRule="exact"/>
        <w:ind w:firstLine="628" w:firstLineChars="200"/>
        <w:outlineLvl w:val="3"/>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（二）资产要求：</w:t>
      </w:r>
    </w:p>
    <w:p>
      <w:pPr>
        <w:autoSpaceDE w:val="0"/>
        <w:autoSpaceDN w:val="0"/>
        <w:spacing w:line="540" w:lineRule="exact"/>
        <w:ind w:firstLine="63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1．资产总额不得低于2千万元人民币。</w:t>
      </w:r>
    </w:p>
    <w:p>
      <w:pPr>
        <w:autoSpaceDE w:val="0"/>
        <w:autoSpaceDN w:val="0"/>
        <w:spacing w:line="540" w:lineRule="exact"/>
        <w:ind w:firstLine="63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2．资产总额在2千万元至1亿元（不含）人民币的，可以从事年售电量不超过30亿千瓦时的售电业务。</w:t>
      </w:r>
    </w:p>
    <w:p>
      <w:pPr>
        <w:autoSpaceDE w:val="0"/>
        <w:autoSpaceDN w:val="0"/>
        <w:spacing w:line="540" w:lineRule="exact"/>
        <w:ind w:firstLine="63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3．资产总额在1亿元至2亿元（不含）人民币的，可以从事年售电量不超过60亿千瓦时的售电业务。</w:t>
      </w:r>
    </w:p>
    <w:p>
      <w:pPr>
        <w:autoSpaceDE w:val="0"/>
        <w:autoSpaceDN w:val="0"/>
        <w:spacing w:line="540" w:lineRule="exact"/>
        <w:ind w:firstLine="63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4．资产总额在2亿元人民币以上的，不限制其售电量。</w:t>
      </w:r>
    </w:p>
    <w:p>
      <w:pPr>
        <w:autoSpaceDE w:val="0"/>
        <w:autoSpaceDN w:val="0"/>
        <w:spacing w:line="540" w:lineRule="exact"/>
        <w:ind w:firstLine="628" w:firstLineChars="20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三）从业人员。售电公司应拥有10名及以上具有劳动关系的全职专业人员。专业人员应掌握电力系统基本技术、经济专业知识，具备风险管理、电能管理、节能管理、需求侧管理等能力，有电力、能源、经济、金融等行业3年及以上工作经验。其中，至少拥有1名高级职称和3名中级职称的专业管理人员，技术职称包括电力、经济、会计等相关专业。</w:t>
      </w:r>
    </w:p>
    <w:p>
      <w:pPr>
        <w:autoSpaceDE w:val="0"/>
        <w:autoSpaceDN w:val="0"/>
        <w:spacing w:line="540" w:lineRule="exact"/>
        <w:ind w:firstLine="628" w:firstLineChars="20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四）经营场所和技术支持系统。售电公司应具有固定经营场所及能够满足参加市场交易的报价、信息报送、合同签订、客户服务等功能的电力市场技术支持系统和客户服务平台，参与电力批发市场的售电公司技术支持系统应能接入电力交易平台。</w:t>
      </w:r>
    </w:p>
    <w:p>
      <w:pPr>
        <w:autoSpaceDE w:val="0"/>
        <w:autoSpaceDN w:val="0"/>
        <w:spacing w:line="540" w:lineRule="exact"/>
        <w:ind w:firstLine="628" w:firstLineChars="20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（五）信用要求。售电公司法定代表人及主要股东具有良好的财务状况和信用记录，并按照规定要求做出信用承诺，确保诚实守信经营。董事、监事、高级管理人员、从业人员无失信被执行记录。</w:t>
      </w:r>
    </w:p>
    <w:p>
      <w:pPr>
        <w:autoSpaceDE w:val="0"/>
        <w:autoSpaceDN w:val="0"/>
        <w:spacing w:line="540" w:lineRule="exact"/>
        <w:ind w:firstLine="628" w:firstLineChars="20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六）发电企业、电力建设企业、高新产业园区、经济技术开发区、供水、供气、供热等公共服务行业和节能服务公司所属售电公司（含全资、控股或参股）应当具有独立法人资格，独立运营。上述公司申请经营范围增项开展售电业务的，新开展的同一笔交易中不能同时作为买方和卖方。</w:t>
      </w:r>
    </w:p>
    <w:p>
      <w:pPr>
        <w:autoSpaceDE w:val="0"/>
        <w:autoSpaceDN w:val="0"/>
        <w:spacing w:line="540" w:lineRule="exact"/>
        <w:ind w:firstLine="628" w:firstLineChars="20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七）电网企业（含关联企业）所属售电公司（含全资、控股或参股）应当具有独立法人资格并且独立运营，确保售电业务从人员、财务、办公地点、信息等方面与其他业务隔离，不得通过电力交易机构、电力调度机构、电网企业获得售电竞争方面的合同商务信息以及超过其他售电公司的优势权利。</w:t>
      </w:r>
    </w:p>
    <w:p>
      <w:pPr>
        <w:autoSpaceDE w:val="0"/>
        <w:autoSpaceDN w:val="0"/>
        <w:spacing w:line="540" w:lineRule="exact"/>
        <w:ind w:firstLine="628" w:firstLineChars="20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（八）法律、行政法规和地方性法规规定的其他条件。</w:t>
      </w:r>
    </w:p>
    <w:p>
      <w:pPr>
        <w:numPr>
          <w:ilvl w:val="0"/>
          <w:numId w:val="4"/>
        </w:numPr>
        <w:spacing w:line="540" w:lineRule="exact"/>
        <w:ind w:left="0" w:firstLine="628" w:firstLineChars="200"/>
        <w:outlineLvl w:val="2"/>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 xml:space="preserve">  参与市场交易的批发市场用户和零售用户两类电力用户，全电量进入电力市场。售电公司与电力用户合同期限不超过12月31日。</w:t>
      </w:r>
    </w:p>
    <w:p>
      <w:pPr>
        <w:keepNext w:val="0"/>
        <w:keepLines w:val="0"/>
        <w:widowControl w:val="0"/>
        <w:numPr>
          <w:ilvl w:val="0"/>
          <w:numId w:val="4"/>
        </w:numPr>
        <w:suppressLineNumbers w:val="0"/>
        <w:spacing w:before="0" w:beforeAutospacing="0" w:after="0" w:afterAutospacing="0" w:line="540" w:lineRule="exact"/>
        <w:ind w:left="0" w:right="0" w:firstLine="628" w:firstLineChars="200"/>
        <w:jc w:val="both"/>
        <w:outlineLvl w:val="2"/>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 xml:space="preserve">  售电公司在履行完所有交易合同和交易结算的情况下，可自愿申请退出市场。售电公司自愿申请退出售电市场的，应提前45个工作日向电力交易机构提交退出申请，明确退出原因和计划的终止交易月。终止交易月之前（含当月），购售电合同由该售电公司继续履行。在省发展改革委、省能源局、浙江能源监管办协调下，自愿退出售电公司应在终止交易月之前通过自主协商的方式完成购售电合同处理；自愿退出售电公司未与购售电合同各方就合同解除协商一致的，须继续参与市场化交易，直至购售电合同履行完毕或合同各方同意终止履行。对继续履行购售电合同确实存在困难的，其批发合同及电力用户按照有关要求由保底售电公司承接。电力用户在履行完所有交易合同和交易结算后未签订新交易合同的，由电网企业代理购电，</w:t>
      </w:r>
      <w:r>
        <w:rPr>
          <w:rFonts w:hint="eastAsia" w:ascii="Times New Roman" w:hAnsi="Times New Roman" w:eastAsia="仿宋_GB2312" w:cs="Times New Roman"/>
          <w:spacing w:val="0"/>
          <w:kern w:val="0"/>
          <w:sz w:val="32"/>
          <w:szCs w:val="32"/>
          <w:lang w:val="en-US" w:eastAsia="zh-CN" w:bidi="ar"/>
        </w:rPr>
        <w:t>执行</w:t>
      </w:r>
      <w:r>
        <w:rPr>
          <w:rFonts w:hint="default" w:ascii="Times New Roman" w:hAnsi="Times New Roman" w:eastAsia="仿宋_GB2312" w:cs="Times New Roman"/>
          <w:spacing w:val="0"/>
          <w:kern w:val="0"/>
          <w:sz w:val="32"/>
          <w:szCs w:val="32"/>
          <w:lang w:val="en-US" w:eastAsia="zh-CN" w:bidi="ar"/>
        </w:rPr>
        <w:t>1.5倍代理购电价格</w:t>
      </w:r>
      <w:r>
        <w:rPr>
          <w:rFonts w:ascii="Times New Roman" w:hAnsi="Times New Roman" w:eastAsia="仿宋_GB2312" w:cs="Times New Roman"/>
          <w:spacing w:val="-6"/>
          <w:kern w:val="0"/>
          <w:sz w:val="32"/>
          <w:szCs w:val="32"/>
        </w:rPr>
        <w:t>。</w:t>
      </w:r>
    </w:p>
    <w:p>
      <w:pPr>
        <w:numPr>
          <w:ilvl w:val="0"/>
          <w:numId w:val="4"/>
        </w:numPr>
        <w:spacing w:line="540" w:lineRule="exact"/>
        <w:ind w:left="0" w:firstLine="628" w:firstLineChars="200"/>
        <w:outlineLvl w:val="2"/>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 xml:space="preserve">  市场主体注册信息变更或者撤销注册，应向电力交易机构提出注册信息变更或撤销注册申请，经公示同意后，方可变更或者撤销注册，公示期为7个工作日。当已完成注册的市场主体不能继续满足市场准入条件时，给予一定整改期限，整改期限结束后，仍然不能满足市场准入条件的，</w:t>
      </w:r>
      <w:r>
        <w:rPr>
          <w:rFonts w:ascii="Times New Roman" w:hAnsi="Times New Roman" w:eastAsia="仿宋_GB2312" w:cs="Times New Roman"/>
          <w:spacing w:val="-6"/>
          <w:sz w:val="32"/>
          <w:szCs w:val="22"/>
        </w:rPr>
        <w:t>经调查核实后撤销注册并从市场主体目录中剔除，电力交易机构应及时将撤销注册的情况报告省发展改革委、省能源局和浙江能源监管办。</w:t>
      </w:r>
    </w:p>
    <w:p>
      <w:pPr>
        <w:keepNext w:val="0"/>
        <w:keepLines w:val="0"/>
        <w:widowControl w:val="0"/>
        <w:numPr>
          <w:ilvl w:val="0"/>
          <w:numId w:val="4"/>
        </w:numPr>
        <w:suppressLineNumbers w:val="0"/>
        <w:spacing w:before="0" w:beforeAutospacing="0" w:after="0" w:afterAutospacing="0" w:line="540" w:lineRule="exact"/>
        <w:ind w:left="0" w:right="0" w:firstLine="652" w:firstLineChars="200"/>
        <w:jc w:val="both"/>
        <w:outlineLvl w:val="2"/>
        <w:rPr>
          <w:rFonts w:ascii="Times New Roman" w:hAnsi="Times New Roman" w:eastAsia="仿宋_GB2312" w:cs="Times New Roman"/>
          <w:spacing w:val="-6"/>
          <w:kern w:val="0"/>
          <w:sz w:val="32"/>
          <w:szCs w:val="32"/>
        </w:rPr>
      </w:pPr>
      <w:r>
        <w:rPr>
          <w:rFonts w:hint="eastAsia" w:ascii="Times New Roman" w:hAnsi="Times New Roman" w:eastAsia="仿宋_GB2312" w:cs="Times New Roman"/>
          <w:spacing w:val="0"/>
          <w:kern w:val="0"/>
          <w:sz w:val="32"/>
          <w:szCs w:val="32"/>
          <w:lang w:val="en-US" w:eastAsia="zh-CN" w:bidi="ar"/>
        </w:rPr>
        <w:t>市场主体存在违反国家有关法律法规和市</w:t>
      </w:r>
      <w:r>
        <w:rPr>
          <w:rFonts w:hint="eastAsia" w:ascii="Times New Roman" w:hAnsi="Times New Roman" w:eastAsia="仿宋_GB2312" w:cs="Times New Roman"/>
          <w:spacing w:val="-6"/>
          <w:kern w:val="0"/>
          <w:sz w:val="32"/>
          <w:szCs w:val="32"/>
          <w:lang w:val="en-US" w:eastAsia="zh-CN" w:bidi="ar"/>
        </w:rPr>
        <w:t>场规则等情形的，由省发展改革委、省能源局、浙江能源监管办根据职能组织调查，按有关法律法规和市场规则作出相应处理。</w:t>
      </w:r>
    </w:p>
    <w:p>
      <w:pPr>
        <w:keepNext w:val="0"/>
        <w:keepLines w:val="0"/>
        <w:widowControl w:val="0"/>
        <w:numPr>
          <w:ilvl w:val="0"/>
          <w:numId w:val="4"/>
        </w:numPr>
        <w:suppressLineNumbers w:val="0"/>
        <w:spacing w:before="0" w:beforeAutospacing="0" w:after="0" w:afterAutospacing="0" w:line="540" w:lineRule="exact"/>
        <w:ind w:left="0" w:right="0" w:firstLine="628" w:firstLineChars="200"/>
        <w:jc w:val="both"/>
        <w:outlineLvl w:val="2"/>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售电公司被强制退出或者自愿退出市场的、用户在无正当理由情况下改由电网企业代理购电的，按合同约定的违约条款执行，电力用户</w:t>
      </w:r>
      <w:r>
        <w:rPr>
          <w:rFonts w:hint="eastAsia" w:ascii="Times New Roman" w:hAnsi="Times New Roman" w:eastAsia="仿宋_GB2312" w:cs="Times New Roman"/>
          <w:spacing w:val="0"/>
          <w:kern w:val="0"/>
          <w:sz w:val="32"/>
          <w:szCs w:val="32"/>
          <w:lang w:val="en-US" w:eastAsia="zh-CN" w:bidi="ar"/>
        </w:rPr>
        <w:t>执行</w:t>
      </w:r>
      <w:r>
        <w:rPr>
          <w:rFonts w:hint="default" w:ascii="Times New Roman" w:hAnsi="Times New Roman" w:eastAsia="仿宋_GB2312" w:cs="Times New Roman"/>
          <w:spacing w:val="0"/>
          <w:kern w:val="0"/>
          <w:sz w:val="32"/>
          <w:szCs w:val="32"/>
          <w:lang w:val="en-US" w:eastAsia="zh-CN" w:bidi="ar"/>
        </w:rPr>
        <w:t>1.5倍代理购电价格</w:t>
      </w:r>
      <w:r>
        <w:rPr>
          <w:rFonts w:hint="default" w:ascii="Times New Roman" w:hAnsi="Times New Roman" w:eastAsia="仿宋_GB2312" w:cs="Times New Roman"/>
          <w:spacing w:val="0"/>
          <w:kern w:val="0"/>
          <w:sz w:val="32"/>
          <w:szCs w:val="32"/>
          <w:lang w:eastAsia="zh-CN" w:bidi="ar"/>
        </w:rPr>
        <w:t>，</w:t>
      </w:r>
      <w:r>
        <w:rPr>
          <w:rFonts w:ascii="Times New Roman" w:hAnsi="Times New Roman" w:eastAsia="仿宋_GB2312" w:cs="Times New Roman"/>
          <w:spacing w:val="-6"/>
          <w:kern w:val="0"/>
          <w:sz w:val="32"/>
          <w:szCs w:val="32"/>
        </w:rPr>
        <w:t>电网企业要依法最大限度满足电力用户的用电需要。</w:t>
      </w:r>
    </w:p>
    <w:p>
      <w:pPr>
        <w:numPr>
          <w:ilvl w:val="0"/>
          <w:numId w:val="4"/>
        </w:numPr>
        <w:spacing w:line="540" w:lineRule="exact"/>
        <w:ind w:left="0" w:firstLine="628" w:firstLineChars="200"/>
        <w:outlineLvl w:val="2"/>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根据相关规定，售电公司被强制退出市场的，其所有已签订但尚未履行的购售电合同优先通过自主协商的方式，在10个工作日内完成处理；自主协商期满，退出售电公司未与合同购售电各方就合同解除协商一致的，由省发展改革委、省能源局、浙江能源监管办征求合同购售电各方意愿，通过电力市场交易平台以转让、拍卖等方式转给其他售电公司；经合同转让、拍卖等方式仍未完成处理的，已签订尚未履行的购售电合同终止履行，零售用户可以与其他售电公司签订新的零售合同，否则由保底售电公司代理该部分零售用户，并按照保底售电公司的相关条款与其签订零售合同，并处理好其他相关事宜。</w:t>
      </w:r>
    </w:p>
    <w:p>
      <w:pPr>
        <w:spacing w:line="540" w:lineRule="exact"/>
        <w:ind w:firstLine="628" w:firstLineChars="20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电力用户无法履约的，应至少提前30个工作日书面告知电网企业、相关售电公司、电力交易机构以及其他相关方，并向电力交易机构提交撤销注册申请，将所有已签订的购售电合同履行完毕，并处理好相关事宜。</w:t>
      </w:r>
    </w:p>
    <w:p>
      <w:pPr>
        <w:numPr>
          <w:ilvl w:val="0"/>
          <w:numId w:val="5"/>
        </w:numPr>
        <w:spacing w:line="540" w:lineRule="exact"/>
        <w:ind w:left="5" w:hanging="5"/>
        <w:jc w:val="center"/>
        <w:outlineLvl w:val="1"/>
        <w:rPr>
          <w:rFonts w:ascii="Times New Roman" w:hAnsi="Times New Roman" w:eastAsia="仿宋_GB2312" w:cs="Times New Roman"/>
          <w:b/>
          <w:spacing w:val="-6"/>
          <w:sz w:val="32"/>
          <w:szCs w:val="32"/>
        </w:rPr>
      </w:pPr>
      <w:r>
        <w:rPr>
          <w:rFonts w:ascii="Times New Roman" w:hAnsi="Times New Roman" w:eastAsia="仿宋_GB2312" w:cs="Times New Roman"/>
          <w:b/>
          <w:spacing w:val="-6"/>
          <w:sz w:val="32"/>
          <w:szCs w:val="32"/>
        </w:rPr>
        <w:t>市场注册</w:t>
      </w:r>
    </w:p>
    <w:p>
      <w:pPr>
        <w:numPr>
          <w:ilvl w:val="0"/>
          <w:numId w:val="4"/>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参加浙江电力市场化交易的发电企业和电力用户（由售电公司代理的用户除外），按照承诺、注册、备案的流程，在电力交易平台办理市场注册手续，获取交易资格。</w:t>
      </w:r>
    </w:p>
    <w:p>
      <w:pPr>
        <w:spacing w:line="540" w:lineRule="exact"/>
        <w:ind w:firstLine="64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承诺流程：发电企业和电力用户按固定格式的信用承诺书，准确填写相关信息，由本单位法人代表签署并加盖单位公章。</w:t>
      </w:r>
    </w:p>
    <w:p>
      <w:pPr>
        <w:spacing w:line="540" w:lineRule="exact"/>
        <w:ind w:firstLine="640"/>
        <w:outlineLvl w:val="2"/>
        <w:rPr>
          <w:rFonts w:ascii="Times New Roman" w:hAnsi="Times New Roman" w:eastAsia="仿宋_GB2312" w:cs="Times New Roman"/>
          <w:color w:val="000000"/>
          <w:spacing w:val="-6"/>
          <w:sz w:val="32"/>
          <w:szCs w:val="32"/>
        </w:rPr>
      </w:pPr>
      <w:r>
        <w:rPr>
          <w:rFonts w:ascii="Times New Roman" w:hAnsi="Times New Roman" w:eastAsia="仿宋_GB2312" w:cs="Times New Roman"/>
          <w:spacing w:val="-6"/>
          <w:sz w:val="32"/>
          <w:szCs w:val="32"/>
        </w:rPr>
        <w:t>注册流程：</w:t>
      </w:r>
      <w:r>
        <w:rPr>
          <w:rFonts w:ascii="Times New Roman" w:hAnsi="Times New Roman" w:eastAsia="仿宋_GB2312" w:cs="Times New Roman"/>
          <w:color w:val="000000"/>
          <w:spacing w:val="-6"/>
          <w:sz w:val="32"/>
          <w:szCs w:val="32"/>
        </w:rPr>
        <w:t>发电企业和电力用户在电力交易平台办理注册，填写包括企业基本信息、商务信息、机组信息以及用电单元信息等</w:t>
      </w:r>
      <w:r>
        <w:rPr>
          <w:rFonts w:ascii="Times New Roman" w:hAnsi="Times New Roman" w:eastAsia="仿宋_GB2312" w:cs="Times New Roman"/>
          <w:spacing w:val="-6"/>
          <w:sz w:val="32"/>
          <w:szCs w:val="32"/>
        </w:rPr>
        <w:t>注册</w:t>
      </w:r>
      <w:r>
        <w:rPr>
          <w:rFonts w:ascii="Times New Roman" w:hAnsi="Times New Roman" w:eastAsia="仿宋_GB2312" w:cs="Times New Roman"/>
          <w:color w:val="000000"/>
          <w:spacing w:val="-6"/>
          <w:sz w:val="32"/>
          <w:szCs w:val="32"/>
        </w:rPr>
        <w:t>信息，扫描上传公司营业执照等材料。电力交易机构在收到发电企业和电力用户的注册申请后，对注册信息资料进行形式检查，并将检查结果告知发电企业和电力用户。对资料提供不全或不规范的，发电企业和电力用户应按要求对信息和资料进行补充和完善。</w:t>
      </w:r>
    </w:p>
    <w:p>
      <w:pPr>
        <w:spacing w:line="540" w:lineRule="exact"/>
        <w:ind w:firstLine="628" w:firstLineChars="200"/>
        <w:outlineLvl w:val="2"/>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备案流程：</w:t>
      </w:r>
      <w:r>
        <w:rPr>
          <w:rFonts w:ascii="Times New Roman" w:hAnsi="Times New Roman" w:eastAsia="仿宋_GB2312" w:cs="Times New Roman"/>
          <w:spacing w:val="-6"/>
          <w:sz w:val="32"/>
          <w:szCs w:val="32"/>
        </w:rPr>
        <w:t>电力交易机构按月汇总发电企业和电力用户的注册情况，向省发展改革委、省能源局、浙江能源监管办备案。</w:t>
      </w:r>
    </w:p>
    <w:p>
      <w:pPr>
        <w:numPr>
          <w:ilvl w:val="0"/>
          <w:numId w:val="4"/>
        </w:numPr>
        <w:spacing w:line="540" w:lineRule="exact"/>
        <w:ind w:left="0" w:firstLine="628" w:firstLineChars="200"/>
        <w:outlineLvl w:val="2"/>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参加浙江电力市场化交易的售电公司，办理注册时，应按固定格式签署信用承诺书，并通过电力交易平台向电力交易机构提交以下资料：工商注册信息、法定代表人信息、统一社会信用代码、资产和从业人员信息、开户信息、营业执照、资产证明、经营场所和技术支持系统证明等材料。</w:t>
      </w:r>
    </w:p>
    <w:p>
      <w:pPr>
        <w:spacing w:line="540" w:lineRule="exact"/>
        <w:ind w:firstLine="640"/>
        <w:outlineLvl w:val="2"/>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（一）营业执照经营范围必须明确具备电力销售、售电或电力供应等业务事项。</w:t>
      </w:r>
    </w:p>
    <w:p>
      <w:pPr>
        <w:spacing w:line="540" w:lineRule="exact"/>
        <w:ind w:firstLine="640"/>
        <w:outlineLvl w:val="2"/>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二）需提供资产证明包括，具备资质、无不良信用记录的会计事务所出具的该售电公司近3个月内的资产评估报告，或近1年的审计报告，或近6个月的验资报告、银行流水，或开户银行出具的实收资本证明。对于成立时间不满6个月的售电公司，需提供自市场监督管理部门注册以后到申请市场注册时的资产评估报告，或审计报告，或验资报告、银行流水，或开户银行出具的实收资本证明。</w:t>
      </w:r>
    </w:p>
    <w:p>
      <w:pPr>
        <w:spacing w:line="540" w:lineRule="exact"/>
        <w:ind w:firstLine="640"/>
        <w:outlineLvl w:val="2"/>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（三）从业人员需提供能够证明售电公司全职在职员工近3个月的社保缴费记录、职称证书。从业人员不能同时在两个及以上售电公司重复任职。</w:t>
      </w:r>
    </w:p>
    <w:p>
      <w:pPr>
        <w:spacing w:line="540" w:lineRule="exact"/>
        <w:ind w:firstLine="640"/>
        <w:outlineLvl w:val="2"/>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（四）经营场所证明需提供商业地产的产权证明或1年及以上的房屋出租合同、经营场所照片等。</w:t>
      </w:r>
    </w:p>
    <w:p>
      <w:pPr>
        <w:spacing w:line="540" w:lineRule="exact"/>
        <w:ind w:firstLine="640"/>
        <w:outlineLvl w:val="2"/>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（五）接入电力交易平台的售电公司技术支持系统，需提供安全等级报告和软件著作权证书以及平台功能截图，对于购买或租赁平台的还需提供购买或租赁合同。</w:t>
      </w:r>
    </w:p>
    <w:p>
      <w:pPr>
        <w:spacing w:line="540" w:lineRule="exact"/>
        <w:ind w:firstLine="640"/>
        <w:outlineLvl w:val="2"/>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拥有配电网运营权的售电公司还需提供配电网电压等级、供电范围、电力业务许可证（供电类）等相关资料。除电网企业存量资产外，现有符合条件的高新产业园区、经济技术开发区和其他企业建设、运营配电网的，履行相应的注册程序后，可自愿转为拥有配电业务的售电公司。</w:t>
      </w:r>
    </w:p>
    <w:p>
      <w:pPr>
        <w:spacing w:line="540" w:lineRule="exact"/>
        <w:ind w:firstLine="640"/>
        <w:outlineLvl w:val="2"/>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接受注册后，电力交易机构要通过电力交易平台、“信用中国”网站等政府指定网站，将售电公司满足注册条件的信息、材料和信用承诺书向社会公示，公示期为1个月。</w:t>
      </w:r>
    </w:p>
    <w:p>
      <w:pPr>
        <w:spacing w:line="540" w:lineRule="exact"/>
        <w:ind w:firstLine="640"/>
        <w:outlineLvl w:val="2"/>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电力交易机构收到售电公司提交的注册申请和注册材料后，在7个工作日内完成材料完整性审查，并在满足注册条件后完成售电公司的注册手续。对于售电公司提交的注册材料不符合要求的，电力交易机构应予以一次性书面告知。</w:t>
      </w:r>
    </w:p>
    <w:p>
      <w:pPr>
        <w:spacing w:line="540" w:lineRule="exact"/>
        <w:ind w:firstLine="640"/>
        <w:outlineLvl w:val="2"/>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公示期满无异议的售电公司，注册手续自动生效。电力交易机构将公示期满无异议的售电公司纳入自主交易市场主体目录，实行动态管理并向社会公布。</w:t>
      </w:r>
    </w:p>
    <w:p>
      <w:pPr>
        <w:spacing w:line="540" w:lineRule="exact"/>
        <w:ind w:firstLine="640"/>
        <w:outlineLvl w:val="2"/>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电力交易机构应对公示期间被提出异议的售电公司的异议情况进行调查核实，并根据核实情况分类处理。</w:t>
      </w:r>
    </w:p>
    <w:p>
      <w:pPr>
        <w:numPr>
          <w:ilvl w:val="0"/>
          <w:numId w:val="13"/>
        </w:numPr>
        <w:spacing w:line="540" w:lineRule="exact"/>
        <w:ind w:firstLine="640"/>
        <w:outlineLvl w:val="2"/>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如因公示材料疏漏缺失或公示期间发生人员等变更而产生异议，售电公司可以补充材料申请再公示。</w:t>
      </w:r>
    </w:p>
    <w:p>
      <w:pPr>
        <w:numPr>
          <w:ilvl w:val="0"/>
          <w:numId w:val="13"/>
        </w:numPr>
        <w:spacing w:line="540" w:lineRule="exact"/>
        <w:ind w:firstLine="640"/>
        <w:outlineLvl w:val="2"/>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如因材料造假发生异议，售电公司自接到电力交易机构关于异议的告知之日起，5个工作日内无法作出合理解释，电力交易机构终止其公示，退回售电公司的注册申请，将情况报送省发展改革委、省能源局、浙江能源监管办。</w:t>
      </w:r>
    </w:p>
    <w:p>
      <w:pPr>
        <w:spacing w:line="540" w:lineRule="exact"/>
        <w:ind w:firstLine="640"/>
        <w:outlineLvl w:val="2"/>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电力交易机构按月汇总售电公司注册情况向省发展改革委、省能源局、浙江能源监管办备案，并通过电力交易平台、“信用中国”网站等政府指定网站向社会公布。</w:t>
      </w:r>
    </w:p>
    <w:p>
      <w:pPr>
        <w:numPr>
          <w:ilvl w:val="0"/>
          <w:numId w:val="4"/>
        </w:numPr>
        <w:spacing w:line="540" w:lineRule="exact"/>
        <w:ind w:left="0" w:firstLine="628" w:firstLineChars="200"/>
        <w:outlineLvl w:val="2"/>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市场主体注册信息发生变化时，应在电力交易平台提出注册信息变更申请。电力交易机构完成信息变更形式检查后，注册信息变更生效。</w:t>
      </w:r>
    </w:p>
    <w:p>
      <w:pPr>
        <w:numPr>
          <w:ilvl w:val="0"/>
          <w:numId w:val="4"/>
        </w:numPr>
        <w:spacing w:line="540" w:lineRule="exact"/>
        <w:ind w:left="0" w:firstLine="628" w:firstLineChars="200"/>
        <w:outlineLvl w:val="2"/>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市场注销主要包括自愿退市注销和与强制退市注销。</w:t>
      </w:r>
    </w:p>
    <w:p>
      <w:pPr>
        <w:spacing w:line="540" w:lineRule="exact"/>
        <w:ind w:firstLine="628" w:firstLineChars="200"/>
        <w:outlineLvl w:val="2"/>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（一）自愿退市注销是指市场主体因自身原因主动要求退出电力市场，注销市场注册的行为。</w:t>
      </w:r>
    </w:p>
    <w:p>
      <w:pPr>
        <w:spacing w:line="540" w:lineRule="exact"/>
        <w:ind w:firstLine="628" w:firstLineChars="200"/>
        <w:outlineLvl w:val="2"/>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（二）强制注销是指市场主体违约、违反相关规定等原因，被动退出电力市场，电力交易机构按规定强制撤销其注册资格的行为。</w:t>
      </w:r>
    </w:p>
    <w:p>
      <w:pPr>
        <w:numPr>
          <w:ilvl w:val="0"/>
          <w:numId w:val="4"/>
        </w:numPr>
        <w:spacing w:line="540" w:lineRule="exact"/>
        <w:ind w:left="0" w:firstLine="628" w:firstLineChars="200"/>
        <w:outlineLvl w:val="2"/>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售电公司的公司名称、法定代表人、资产总额等变更属于信息变更范畴。售电公司申请注册信息变更的，应再次履行公示手续。</w:t>
      </w:r>
    </w:p>
    <w:p>
      <w:pPr>
        <w:numPr>
          <w:ilvl w:val="0"/>
          <w:numId w:val="4"/>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kern w:val="0"/>
          <w:sz w:val="32"/>
          <w:szCs w:val="32"/>
        </w:rPr>
        <w:t>市场主体需保证注册信息的真实性、完整性和准确性。如市场主体提供虚假注册材料、以及电力用户非法同时与多个售电公司在一个合同周期内签署购售电合同而造成的损失，均由责任方承担。电力交易机构收到市场主体提交的注册申请和注册材料后，原则上在7个工作日内完成材料完整性核验。</w:t>
      </w:r>
    </w:p>
    <w:p>
      <w:pPr>
        <w:numPr>
          <w:ilvl w:val="0"/>
          <w:numId w:val="5"/>
        </w:numPr>
        <w:spacing w:line="540" w:lineRule="exact"/>
        <w:ind w:left="5" w:hanging="5"/>
        <w:jc w:val="center"/>
        <w:outlineLvl w:val="1"/>
        <w:rPr>
          <w:rFonts w:ascii="Times New Roman" w:hAnsi="Times New Roman" w:eastAsia="仿宋_GB2312" w:cs="Times New Roman"/>
          <w:b/>
          <w:spacing w:val="-6"/>
          <w:sz w:val="32"/>
          <w:szCs w:val="32"/>
        </w:rPr>
      </w:pPr>
      <w:r>
        <w:rPr>
          <w:rFonts w:ascii="Times New Roman" w:hAnsi="Times New Roman" w:eastAsia="仿宋_GB2312" w:cs="Times New Roman"/>
          <w:b/>
          <w:spacing w:val="-6"/>
          <w:sz w:val="32"/>
          <w:szCs w:val="32"/>
        </w:rPr>
        <w:t>市场交易基本要求</w:t>
      </w:r>
    </w:p>
    <w:p>
      <w:pPr>
        <w:numPr>
          <w:ilvl w:val="0"/>
          <w:numId w:val="4"/>
        </w:numPr>
        <w:spacing w:line="540" w:lineRule="exact"/>
        <w:ind w:left="0" w:firstLine="628" w:firstLineChars="200"/>
        <w:outlineLvl w:val="2"/>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浙江电力市场化交易分为电力批发交易和电力零售交易。</w:t>
      </w:r>
    </w:p>
    <w:p>
      <w:pPr>
        <w:spacing w:line="540" w:lineRule="exact"/>
        <w:ind w:firstLine="628" w:firstLineChars="200"/>
        <w:rPr>
          <w:rFonts w:ascii="Times New Roman" w:hAnsi="Times New Roman" w:eastAsia="仿宋_GB2312" w:cs="Times New Roman"/>
          <w:spacing w:val="-6"/>
          <w:sz w:val="32"/>
          <w:szCs w:val="32"/>
        </w:rPr>
      </w:pPr>
      <w:r>
        <w:rPr>
          <w:rFonts w:ascii="Times New Roman" w:hAnsi="Times New Roman" w:eastAsia="仿宋_GB2312" w:cs="Times New Roman"/>
          <w:spacing w:val="-6"/>
          <w:kern w:val="0"/>
          <w:sz w:val="32"/>
          <w:szCs w:val="32"/>
        </w:rPr>
        <w:t>电力批发交易是发电企业、售电公司、批发市场用户之间通过市场化方式进行电力交易活动的总称。电力零售交易是售电公司与零售用户开展的电力交易活动的总称。</w:t>
      </w:r>
    </w:p>
    <w:p>
      <w:pPr>
        <w:numPr>
          <w:ilvl w:val="0"/>
          <w:numId w:val="4"/>
        </w:numPr>
        <w:spacing w:line="540" w:lineRule="exact"/>
        <w:ind w:left="0" w:firstLine="628" w:firstLineChars="200"/>
        <w:outlineLvl w:val="2"/>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 xml:space="preserve">  电力批发交易可采用双边协商、集中竞价、平台挂牌等方式进行，其中电力交易双方的供需信息应在电力交易平台上发布。</w:t>
      </w:r>
    </w:p>
    <w:p>
      <w:pPr>
        <w:numPr>
          <w:ilvl w:val="0"/>
          <w:numId w:val="14"/>
        </w:numPr>
        <w:autoSpaceDE w:val="0"/>
        <w:autoSpaceDN w:val="0"/>
        <w:spacing w:line="540" w:lineRule="exact"/>
        <w:ind w:firstLine="62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双边协商交易是指市场主体之间自主协商交易电量（电力）、电价，形成双边协商交易初步意向后，经安全校核和相关方确认后形成的交易。</w:t>
      </w:r>
    </w:p>
    <w:p>
      <w:pPr>
        <w:numPr>
          <w:ilvl w:val="0"/>
          <w:numId w:val="14"/>
        </w:numPr>
        <w:autoSpaceDE w:val="0"/>
        <w:autoSpaceDN w:val="0"/>
        <w:spacing w:line="540" w:lineRule="exact"/>
        <w:ind w:firstLine="62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集中竞价交易是指市场主体通过电力交易平台申报电量、电价，电力交易机构进行市场出清，经电力调度机构安全校核后，确定最终的成交对象、成交电量与成交价格等。</w:t>
      </w:r>
    </w:p>
    <w:p>
      <w:pPr>
        <w:numPr>
          <w:ilvl w:val="0"/>
          <w:numId w:val="14"/>
        </w:numPr>
        <w:autoSpaceDE w:val="0"/>
        <w:autoSpaceDN w:val="0"/>
        <w:spacing w:line="540" w:lineRule="exact"/>
        <w:ind w:firstLine="62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平台挂牌交易是指市场主体通过电力交易平台，将需求电量或者可供电量的数量和价格等信息对外发布要约，由符合资格要求的另一方提出接受该要约的申请。</w:t>
      </w:r>
    </w:p>
    <w:p>
      <w:pPr>
        <w:numPr>
          <w:ilvl w:val="0"/>
          <w:numId w:val="4"/>
        </w:numPr>
        <w:spacing w:line="540" w:lineRule="exact"/>
        <w:ind w:left="0" w:firstLine="628" w:firstLineChars="200"/>
        <w:outlineLvl w:val="2"/>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市场用户（除电网企业代理购电用户以外）分为批发市场用户和零售用户，批发市场用户指可以参加电力批发交易的用电企业；零售用户指除批发市场用户以外的其他用电企业。所有市场用户均须全电量参与市场交易，其全部用电量按市场规则进行结算。</w:t>
      </w:r>
    </w:p>
    <w:p>
      <w:pPr>
        <w:numPr>
          <w:ilvl w:val="0"/>
          <w:numId w:val="4"/>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现阶段，批发市场用户可以选择以下两种方式之一参与电力中长期交易：</w:t>
      </w:r>
    </w:p>
    <w:p>
      <w:pPr>
        <w:numPr>
          <w:ilvl w:val="0"/>
          <w:numId w:val="15"/>
        </w:numPr>
        <w:spacing w:line="540" w:lineRule="exact"/>
        <w:ind w:firstLine="620"/>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参加电力批发交易，即与发电企业开展年度（月度）双边协商交易，直接参与月度集中竞价交易和平台挂牌交易。</w:t>
      </w:r>
    </w:p>
    <w:p>
      <w:pPr>
        <w:numPr>
          <w:ilvl w:val="0"/>
          <w:numId w:val="15"/>
        </w:numPr>
        <w:spacing w:line="540" w:lineRule="exact"/>
        <w:ind w:firstLine="620"/>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参加电力零售交易，即全部电量</w:t>
      </w:r>
      <w:r>
        <w:rPr>
          <w:rFonts w:ascii="Times New Roman" w:hAnsi="Times New Roman" w:eastAsia="仿宋_GB2312" w:cs="Times New Roman"/>
          <w:spacing w:val="-6"/>
          <w:kern w:val="0"/>
          <w:sz w:val="32"/>
          <w:szCs w:val="32"/>
        </w:rPr>
        <w:t>在同一合同周期内原则上通过一家售电公司购电。选择通过售电公司购电的批发市场用户视同零售用户。</w:t>
      </w:r>
    </w:p>
    <w:p>
      <w:pPr>
        <w:numPr>
          <w:ilvl w:val="0"/>
          <w:numId w:val="4"/>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零售用户在同一合同周期内只可选择向一家售电公司购电，不得同时与两家及以上售电公司签订购售电合同。</w:t>
      </w:r>
    </w:p>
    <w:p>
      <w:pPr>
        <w:numPr>
          <w:ilvl w:val="0"/>
          <w:numId w:val="4"/>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同一投资主体（含关联企业）所属的售电公司，所占市场份额均不得超过20%。</w:t>
      </w:r>
    </w:p>
    <w:p>
      <w:pPr>
        <w:numPr>
          <w:ilvl w:val="0"/>
          <w:numId w:val="4"/>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符合准入条件的发电企业可以与售电公司、批发市场用户签订年度（月度）双边协议，也可直接参与月度集中竞价交易和平台挂牌交易。</w:t>
      </w:r>
    </w:p>
    <w:p>
      <w:pPr>
        <w:numPr>
          <w:ilvl w:val="0"/>
          <w:numId w:val="4"/>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符合准入条件的售电公司可以代理电力用户参与电力市场，可以与符合准入条件的发电企业签订年度（月度）双边协议，也可以直接参与月度集中竞价交易和平台挂牌交易。</w:t>
      </w:r>
    </w:p>
    <w:p>
      <w:pPr>
        <w:numPr>
          <w:ilvl w:val="0"/>
          <w:numId w:val="3"/>
        </w:numPr>
        <w:spacing w:line="540" w:lineRule="exact"/>
        <w:ind w:left="0" w:firstLine="0"/>
        <w:jc w:val="center"/>
        <w:outlineLvl w:val="3"/>
        <w:rPr>
          <w:rFonts w:ascii="Times New Roman" w:hAnsi="Times New Roman" w:eastAsia="黑体" w:cs="Times New Roman"/>
          <w:spacing w:val="-6"/>
          <w:sz w:val="32"/>
          <w:szCs w:val="32"/>
        </w:rPr>
      </w:pPr>
      <w:r>
        <w:rPr>
          <w:rFonts w:ascii="Times New Roman" w:hAnsi="Times New Roman" w:eastAsia="黑体" w:cs="Times New Roman"/>
          <w:spacing w:val="-6"/>
          <w:sz w:val="32"/>
          <w:szCs w:val="32"/>
        </w:rPr>
        <w:t>交易相关价格</w:t>
      </w:r>
    </w:p>
    <w:p>
      <w:pPr>
        <w:numPr>
          <w:ilvl w:val="0"/>
          <w:numId w:val="4"/>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电力中长期交易的交易价格由市场主体通过双边协商、集中竞价、挂牌等市场化方式形成，第三方不得干预，交易价格含环保和超低排放电价。</w:t>
      </w:r>
    </w:p>
    <w:p>
      <w:pPr>
        <w:numPr>
          <w:ilvl w:val="0"/>
          <w:numId w:val="4"/>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双边协商交易的交易价格按照双方合同约定执行；集中竞价交易价格按照边际价格统一出清确定；挂牌交易价格按照摘牌成交电价确定。交易价格</w:t>
      </w:r>
      <w:r>
        <w:rPr>
          <w:rFonts w:hint="eastAsia" w:ascii="Times New Roman" w:hAnsi="Times New Roman" w:eastAsia="仿宋_GB2312" w:cs="Times New Roman"/>
          <w:spacing w:val="-6"/>
          <w:sz w:val="32"/>
          <w:szCs w:val="32"/>
        </w:rPr>
        <w:t>按单一价格形成，</w:t>
      </w:r>
      <w:r>
        <w:rPr>
          <w:rFonts w:hint="eastAsia" w:ascii="Times New Roman" w:hAnsi="Times New Roman" w:cs="Times New Roman"/>
          <w:spacing w:val="-6"/>
          <w:sz w:val="32"/>
          <w:szCs w:val="32"/>
          <w:lang w:val="en-US" w:eastAsia="zh-CN"/>
        </w:rPr>
        <w:t>分时用户</w:t>
      </w:r>
      <w:r>
        <w:rPr>
          <w:rFonts w:hint="eastAsia" w:ascii="Times New Roman" w:hAnsi="Times New Roman" w:eastAsia="仿宋_GB2312" w:cs="Times New Roman"/>
          <w:spacing w:val="-6"/>
          <w:sz w:val="32"/>
          <w:szCs w:val="32"/>
        </w:rPr>
        <w:t>结算价格按照分时电价政策执行</w:t>
      </w:r>
      <w:r>
        <w:rPr>
          <w:rFonts w:ascii="Times New Roman" w:hAnsi="Times New Roman" w:eastAsia="仿宋_GB2312" w:cs="Times New Roman"/>
          <w:spacing w:val="-6"/>
          <w:sz w:val="32"/>
          <w:szCs w:val="32"/>
        </w:rPr>
        <w:t>。交易期间，国家调整我省发电侧上网电价的，各类交易价格不作调整。</w:t>
      </w:r>
    </w:p>
    <w:p>
      <w:pPr>
        <w:numPr>
          <w:ilvl w:val="0"/>
          <w:numId w:val="4"/>
        </w:numPr>
        <w:spacing w:line="540" w:lineRule="exact"/>
        <w:ind w:left="0" w:firstLine="628" w:firstLineChars="200"/>
        <w:outlineLvl w:val="2"/>
        <w:rPr>
          <w:rFonts w:ascii="Times New Roman" w:hAnsi="Times New Roman" w:eastAsia="仿宋_GB2312" w:cs="Times New Roman"/>
          <w:spacing w:val="-6"/>
          <w:sz w:val="32"/>
          <w:szCs w:val="32"/>
        </w:rPr>
      </w:pPr>
      <w:commentRangeStart w:id="0"/>
      <w:r>
        <w:rPr>
          <w:rFonts w:ascii="Times New Roman" w:hAnsi="Times New Roman" w:eastAsia="仿宋_GB2312" w:cs="Times New Roman"/>
          <w:spacing w:val="-6"/>
          <w:sz w:val="32"/>
          <w:szCs w:val="32"/>
        </w:rPr>
        <w:t>发电企业与售电公司或批发市场用户的批发侧合同电量的结算价格即为交易价格</w:t>
      </w:r>
      <w:r>
        <w:rPr>
          <w:rFonts w:hint="eastAsia" w:ascii="Times New Roman" w:hAnsi="Times New Roman" w:cs="Times New Roman"/>
          <w:spacing w:val="-6"/>
          <w:sz w:val="32"/>
          <w:szCs w:val="32"/>
          <w:lang w:eastAsia="zh-CN"/>
        </w:rPr>
        <w:t>，交易价格叠加分摊（享）费用形成上网电价</w:t>
      </w:r>
      <w:r>
        <w:rPr>
          <w:rFonts w:ascii="Times New Roman" w:hAnsi="Times New Roman" w:eastAsia="仿宋_GB2312" w:cs="Times New Roman"/>
          <w:spacing w:val="-6"/>
          <w:sz w:val="32"/>
          <w:szCs w:val="32"/>
        </w:rPr>
        <w:t>；批发市场用户的用电价格由</w:t>
      </w:r>
      <w:r>
        <w:rPr>
          <w:rFonts w:hint="eastAsia" w:ascii="Times New Roman" w:hAnsi="Times New Roman" w:eastAsia="仿宋_GB2312" w:cs="Times New Roman"/>
          <w:spacing w:val="-6"/>
          <w:sz w:val="32"/>
          <w:szCs w:val="32"/>
        </w:rPr>
        <w:t>上网电价、上网环节线损费用、输配电价、系统运行费用</w:t>
      </w:r>
      <w:r>
        <w:rPr>
          <w:rFonts w:ascii="Times New Roman" w:hAnsi="Times New Roman" w:eastAsia="仿宋_GB2312" w:cs="Times New Roman"/>
          <w:spacing w:val="-6"/>
          <w:sz w:val="32"/>
          <w:szCs w:val="32"/>
        </w:rPr>
        <w:t>、政府性基金及附加等构成</w:t>
      </w:r>
      <w:r>
        <w:rPr>
          <w:rFonts w:hint="eastAsia" w:ascii="Times New Roman" w:hAnsi="Times New Roman" w:eastAsia="仿宋_GB2312" w:cs="Times New Roman"/>
          <w:spacing w:val="-6"/>
          <w:sz w:val="32"/>
          <w:szCs w:val="32"/>
        </w:rPr>
        <w:t>，结算时</w:t>
      </w:r>
      <w:r>
        <w:rPr>
          <w:rFonts w:hint="eastAsia" w:ascii="Times New Roman" w:hAnsi="Times New Roman" w:cs="Times New Roman"/>
          <w:spacing w:val="-6"/>
          <w:sz w:val="32"/>
          <w:szCs w:val="32"/>
          <w:lang w:val="en-US" w:eastAsia="zh-CN"/>
        </w:rPr>
        <w:t>分时用户</w:t>
      </w:r>
      <w:r>
        <w:rPr>
          <w:rFonts w:hint="eastAsia" w:ascii="Times New Roman" w:hAnsi="Times New Roman" w:eastAsia="仿宋_GB2312" w:cs="Times New Roman"/>
          <w:spacing w:val="-6"/>
          <w:sz w:val="32"/>
          <w:szCs w:val="32"/>
        </w:rPr>
        <w:t>按照分时电价政策规定的浮动比例形成分时结算价格</w:t>
      </w:r>
      <w:r>
        <w:rPr>
          <w:rFonts w:ascii="Times New Roman" w:hAnsi="Times New Roman" w:eastAsia="仿宋_GB2312" w:cs="Times New Roman"/>
          <w:spacing w:val="-6"/>
          <w:sz w:val="32"/>
          <w:szCs w:val="32"/>
        </w:rPr>
        <w:t>。输配电价、相关政府性基金及附加等按国家及浙江省有关规定执行。市场用户继续执行基本电价、功率因数考核等电价政策。</w:t>
      </w:r>
      <w:commentRangeEnd w:id="0"/>
      <w:r>
        <w:commentReference w:id="0"/>
      </w:r>
    </w:p>
    <w:p>
      <w:pPr>
        <w:numPr>
          <w:ilvl w:val="0"/>
          <w:numId w:val="4"/>
        </w:numPr>
        <w:spacing w:line="540" w:lineRule="exact"/>
        <w:ind w:left="0" w:firstLine="628" w:firstLineChars="200"/>
        <w:outlineLvl w:val="2"/>
        <w:rPr>
          <w:rFonts w:ascii="Times New Roman" w:hAnsi="Times New Roman" w:eastAsia="仿宋_GB2312" w:cs="Times New Roman"/>
          <w:spacing w:val="-6"/>
          <w:sz w:val="32"/>
          <w:szCs w:val="32"/>
        </w:rPr>
      </w:pPr>
      <w:commentRangeStart w:id="1"/>
      <w:r>
        <w:rPr>
          <w:rFonts w:ascii="Times New Roman" w:hAnsi="Times New Roman" w:eastAsia="仿宋_GB2312" w:cs="Times New Roman"/>
          <w:spacing w:val="-6"/>
          <w:sz w:val="32"/>
          <w:szCs w:val="32"/>
          <w:lang w:bidi="ar"/>
        </w:rPr>
        <w:t>电网企业代理购电用户电价由</w:t>
      </w:r>
      <w:r>
        <w:rPr>
          <w:rFonts w:hint="eastAsia" w:ascii="Times New Roman" w:hAnsi="Times New Roman" w:eastAsia="仿宋_GB2312" w:cs="Times New Roman"/>
          <w:spacing w:val="-6"/>
          <w:sz w:val="32"/>
          <w:szCs w:val="32"/>
          <w:lang w:bidi="ar"/>
        </w:rPr>
        <w:t>代理购电价格、上网环节线损费用、输配电价、系统运行费用</w:t>
      </w:r>
      <w:r>
        <w:rPr>
          <w:rFonts w:ascii="Times New Roman" w:hAnsi="Times New Roman" w:eastAsia="仿宋_GB2312" w:cs="Times New Roman"/>
          <w:spacing w:val="-6"/>
          <w:sz w:val="32"/>
          <w:szCs w:val="32"/>
          <w:lang w:bidi="ar"/>
        </w:rPr>
        <w:t>、政府性基金及附加组成。</w:t>
      </w:r>
      <w:r>
        <w:rPr>
          <w:rFonts w:ascii="Times New Roman" w:hAnsi="Times New Roman" w:eastAsia="仿宋_GB2312" w:cs="Times New Roman"/>
          <w:spacing w:val="-6"/>
          <w:sz w:val="32"/>
          <w:szCs w:val="32"/>
        </w:rPr>
        <w:t>代理购电价格叠加</w:t>
      </w:r>
      <w:r>
        <w:rPr>
          <w:rFonts w:hint="eastAsia" w:ascii="Times New Roman" w:hAnsi="Times New Roman" w:eastAsia="仿宋_GB2312" w:cs="Times New Roman"/>
          <w:spacing w:val="-6"/>
          <w:sz w:val="32"/>
          <w:szCs w:val="32"/>
        </w:rPr>
        <w:t>上网环节线损费用</w:t>
      </w:r>
      <w:r>
        <w:rPr>
          <w:rFonts w:hint="eastAsia" w:ascii="Times New Roman" w:hAnsi="Times New Roman" w:cs="Times New Roman"/>
          <w:spacing w:val="-6"/>
          <w:sz w:val="32"/>
          <w:szCs w:val="32"/>
          <w:lang w:eastAsia="zh-CN"/>
        </w:rPr>
        <w:t>、</w:t>
      </w:r>
      <w:r>
        <w:rPr>
          <w:rFonts w:ascii="Times New Roman" w:hAnsi="Times New Roman" w:eastAsia="仿宋_GB2312" w:cs="Times New Roman"/>
          <w:spacing w:val="-6"/>
          <w:sz w:val="32"/>
          <w:szCs w:val="32"/>
        </w:rPr>
        <w:t>输配电价</w:t>
      </w:r>
      <w:r>
        <w:rPr>
          <w:rFonts w:hint="eastAsia" w:ascii="Times New Roman" w:hAnsi="Times New Roman" w:cs="Times New Roman"/>
          <w:spacing w:val="-6"/>
          <w:sz w:val="32"/>
          <w:szCs w:val="32"/>
          <w:lang w:eastAsia="zh-CN"/>
        </w:rPr>
        <w:t>、系统运行费</w:t>
      </w:r>
      <w:r>
        <w:rPr>
          <w:rFonts w:hint="eastAsia" w:ascii="Times New Roman" w:hAnsi="Times New Roman" w:cs="Times New Roman"/>
          <w:spacing w:val="-6"/>
          <w:sz w:val="32"/>
          <w:szCs w:val="32"/>
          <w:lang w:val="en-US" w:eastAsia="zh-CN"/>
        </w:rPr>
        <w:t>用</w:t>
      </w:r>
      <w:r>
        <w:rPr>
          <w:rFonts w:ascii="Times New Roman" w:hAnsi="Times New Roman" w:eastAsia="仿宋_GB2312" w:cs="Times New Roman"/>
          <w:spacing w:val="-6"/>
          <w:sz w:val="32"/>
          <w:szCs w:val="32"/>
        </w:rPr>
        <w:t>和政府性基金及附加等作为电度电价，</w:t>
      </w:r>
      <w:r>
        <w:rPr>
          <w:rFonts w:hint="eastAsia" w:ascii="Times New Roman" w:hAnsi="Times New Roman" w:cs="Times New Roman"/>
          <w:spacing w:val="-6"/>
          <w:sz w:val="32"/>
          <w:szCs w:val="32"/>
          <w:lang w:val="en-US" w:eastAsia="zh-CN"/>
        </w:rPr>
        <w:t>分时用户</w:t>
      </w:r>
      <w:r>
        <w:rPr>
          <w:rFonts w:ascii="Times New Roman" w:hAnsi="Times New Roman" w:eastAsia="仿宋_GB2312" w:cs="Times New Roman"/>
          <w:spacing w:val="-6"/>
          <w:sz w:val="32"/>
          <w:szCs w:val="32"/>
        </w:rPr>
        <w:t>按照</w:t>
      </w:r>
      <w:r>
        <w:rPr>
          <w:rFonts w:hint="eastAsia" w:ascii="Times New Roman" w:hAnsi="Times New Roman" w:eastAsia="仿宋_GB2312" w:cs="Times New Roman"/>
          <w:spacing w:val="-6"/>
          <w:sz w:val="32"/>
          <w:szCs w:val="32"/>
        </w:rPr>
        <w:t>分时电价政策</w:t>
      </w:r>
      <w:r>
        <w:rPr>
          <w:rFonts w:ascii="Times New Roman" w:hAnsi="Times New Roman" w:eastAsia="仿宋_GB2312" w:cs="Times New Roman"/>
          <w:spacing w:val="-6"/>
          <w:sz w:val="32"/>
          <w:szCs w:val="32"/>
        </w:rPr>
        <w:t>规定的时段浮动比例形成分时结算价格。</w:t>
      </w:r>
      <w:commentRangeEnd w:id="1"/>
      <w:r>
        <w:commentReference w:id="1"/>
      </w:r>
      <w:r>
        <w:rPr>
          <w:rFonts w:ascii="Times New Roman" w:hAnsi="Times New Roman" w:eastAsia="仿宋_GB2312" w:cs="Times New Roman"/>
          <w:spacing w:val="-6"/>
          <w:sz w:val="32"/>
          <w:szCs w:val="32"/>
        </w:rPr>
        <w:tab/>
      </w:r>
    </w:p>
    <w:p>
      <w:pPr>
        <w:numPr>
          <w:ilvl w:val="0"/>
          <w:numId w:val="4"/>
        </w:numPr>
        <w:spacing w:line="540" w:lineRule="exact"/>
        <w:ind w:left="0" w:firstLine="628" w:firstLineChars="200"/>
        <w:outlineLvl w:val="2"/>
        <w:rPr>
          <w:rFonts w:ascii="Times New Roman" w:hAnsi="Times New Roman" w:eastAsia="仿宋_GB2312" w:cs="Times New Roman"/>
          <w:spacing w:val="-6"/>
          <w:sz w:val="32"/>
          <w:szCs w:val="32"/>
          <w:lang w:bidi="ar"/>
        </w:rPr>
      </w:pPr>
      <w:r>
        <w:rPr>
          <w:rFonts w:ascii="Times New Roman" w:hAnsi="Times New Roman" w:eastAsia="仿宋_GB2312" w:cs="Times New Roman"/>
          <w:spacing w:val="-6"/>
          <w:sz w:val="32"/>
          <w:szCs w:val="32"/>
          <w:lang w:bidi="ar"/>
        </w:rPr>
        <w:t>已直接参与市场交易在无正当理由情况下改由电网企业代理购电的用户、拥有燃煤发电自备电厂且由电网企业代理购电的用户，用电价格为电网企业代理购电价格的1.5倍、输配电价、政府性基金及附加组成。</w:t>
      </w:r>
      <w:r>
        <w:rPr>
          <w:rFonts w:ascii="Times New Roman" w:hAnsi="Times New Roman" w:eastAsia="仿宋_GB2312" w:cs="Times New Roman"/>
          <w:spacing w:val="-6"/>
          <w:kern w:val="0"/>
          <w:sz w:val="32"/>
          <w:szCs w:val="32"/>
        </w:rPr>
        <w:t>已直接参与市场交易的高耗能用户，不得退出市场交易；尚未直接参与市场交易的高耗能用户原则上要直接参与市场交易，暂不能直接参与市场交易的由电网企业代理购电，用电价格由电网企业代理购电价格的1.5倍、输配电价、政府性基金及附加组成。电网企业代理上述用户购电形成的增收收入，纳入其为保障居民、农业用电价格稳定产生的新增损益统筹考虑。</w:t>
      </w:r>
    </w:p>
    <w:p>
      <w:pPr>
        <w:numPr>
          <w:ilvl w:val="0"/>
          <w:numId w:val="4"/>
        </w:numPr>
        <w:spacing w:line="540" w:lineRule="exact"/>
        <w:ind w:left="0" w:firstLine="628" w:firstLineChars="200"/>
        <w:outlineLvl w:val="2"/>
        <w:rPr>
          <w:rFonts w:ascii="Times New Roman" w:hAnsi="Times New Roman" w:eastAsia="仿宋_GB2312" w:cs="Times New Roman"/>
          <w:spacing w:val="-6"/>
          <w:sz w:val="32"/>
          <w:szCs w:val="32"/>
          <w:lang w:bidi="ar"/>
        </w:rPr>
      </w:pPr>
      <w:r>
        <w:commentReference w:id="2"/>
      </w:r>
      <w:r>
        <w:rPr>
          <w:rFonts w:ascii="Times New Roman" w:hAnsi="Times New Roman" w:eastAsia="仿宋_GB2312" w:cs="Times New Roman"/>
          <w:spacing w:val="-6"/>
          <w:sz w:val="32"/>
          <w:szCs w:val="32"/>
          <w:lang w:bidi="ar"/>
        </w:rPr>
        <w:t>直接参与电力现货交易的电力用户及售电公司应与发电企业在交易合同中约定包括但不限于分时结算曲线（组）等</w:t>
      </w:r>
      <w:r>
        <w:rPr>
          <w:rFonts w:hint="eastAsia" w:ascii="Times New Roman" w:hAnsi="Times New Roman" w:eastAsia="仿宋_GB2312" w:cs="Times New Roman"/>
          <w:spacing w:val="-6"/>
          <w:sz w:val="32"/>
          <w:szCs w:val="32"/>
          <w:lang w:bidi="ar"/>
        </w:rPr>
        <w:t>、交割结算节点和相应结算价格</w:t>
      </w:r>
      <w:r>
        <w:rPr>
          <w:rFonts w:ascii="Times New Roman" w:hAnsi="Times New Roman" w:eastAsia="仿宋_GB2312" w:cs="Times New Roman"/>
          <w:spacing w:val="-6"/>
          <w:sz w:val="32"/>
          <w:szCs w:val="32"/>
          <w:lang w:bidi="ar"/>
        </w:rPr>
        <w:t>。</w:t>
      </w:r>
      <w:r>
        <w:commentReference w:id="3"/>
      </w:r>
    </w:p>
    <w:p>
      <w:pPr>
        <w:numPr>
          <w:ilvl w:val="0"/>
          <w:numId w:val="4"/>
        </w:numPr>
        <w:spacing w:line="540" w:lineRule="exact"/>
        <w:ind w:left="0" w:firstLine="617" w:firstLineChars="197"/>
        <w:outlineLvl w:val="2"/>
        <w:rPr>
          <w:rFonts w:ascii="Times New Roman" w:hAnsi="Times New Roman" w:eastAsia="仿宋_GB2312" w:cs="Times New Roman"/>
          <w:spacing w:val="-6"/>
          <w:sz w:val="32"/>
          <w:szCs w:val="32"/>
          <w:lang w:bidi="ar"/>
        </w:rPr>
      </w:pPr>
      <w:r>
        <w:rPr>
          <w:rFonts w:ascii="Times New Roman" w:hAnsi="Times New Roman" w:eastAsia="仿宋_GB2312" w:cs="Times New Roman"/>
          <w:spacing w:val="-6"/>
          <w:sz w:val="32"/>
          <w:szCs w:val="32"/>
          <w:lang w:bidi="ar"/>
        </w:rPr>
        <w:t>现货市场运行时，直接参与现货市场的用户和售电公司的中长期交易合同电量，以及其对应发电企业的中长期交易合同电量，若已约定电力曲线、交割结算节点和相应结算价格，则按照合同约定执行；若未约定则</w:t>
      </w:r>
      <w:r>
        <w:rPr>
          <w:rFonts w:hint="eastAsia" w:ascii="Times New Roman" w:hAnsi="Times New Roman" w:cs="Times New Roman"/>
          <w:spacing w:val="-6"/>
          <w:sz w:val="32"/>
          <w:szCs w:val="32"/>
          <w:lang w:val="en-US" w:eastAsia="zh-CN" w:bidi="ar"/>
        </w:rPr>
        <w:t>由电力交易机构根据相关规定</w:t>
      </w:r>
      <w:r>
        <w:rPr>
          <w:rFonts w:ascii="Times New Roman" w:hAnsi="Times New Roman" w:eastAsia="仿宋_GB2312" w:cs="Times New Roman"/>
          <w:spacing w:val="-6"/>
          <w:sz w:val="32"/>
          <w:szCs w:val="32"/>
          <w:lang w:bidi="ar"/>
        </w:rPr>
        <w:t>按照</w:t>
      </w:r>
      <w:r>
        <w:rPr>
          <w:rFonts w:hint="eastAsia" w:ascii="Times New Roman" w:hAnsi="Times New Roman" w:cs="Times New Roman"/>
          <w:spacing w:val="-6"/>
          <w:sz w:val="32"/>
          <w:szCs w:val="32"/>
          <w:lang w:val="en-US" w:eastAsia="zh-CN" w:bidi="ar"/>
        </w:rPr>
        <w:t>典型曲线确定</w:t>
      </w:r>
      <w:r>
        <w:commentReference w:id="4"/>
      </w:r>
      <w:r>
        <w:rPr>
          <w:rFonts w:ascii="Times New Roman" w:hAnsi="Times New Roman" w:eastAsia="仿宋_GB2312" w:cs="Times New Roman"/>
          <w:spacing w:val="-6"/>
          <w:sz w:val="32"/>
          <w:szCs w:val="32"/>
          <w:lang w:bidi="ar"/>
        </w:rPr>
        <w:t>。</w:t>
      </w:r>
    </w:p>
    <w:p>
      <w:pPr>
        <w:numPr>
          <w:ilvl w:val="0"/>
          <w:numId w:val="4"/>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集中竞价交易中，为避免市场操纵及恶性竞争，可对报价设置上限；参与市场交易机组发电能力明显大于用电需求时，可对报价设置下限。零售市场交易中，电力主管部门可根据市场运营情况按规定设置价格上下限，并定期公布或调整。</w:t>
      </w:r>
    </w:p>
    <w:p>
      <w:pPr>
        <w:numPr>
          <w:ilvl w:val="0"/>
          <w:numId w:val="3"/>
        </w:numPr>
        <w:spacing w:line="540" w:lineRule="exact"/>
        <w:ind w:left="-2" w:firstLine="0"/>
        <w:jc w:val="center"/>
        <w:outlineLvl w:val="0"/>
        <w:rPr>
          <w:rFonts w:ascii="Times New Roman" w:hAnsi="Times New Roman" w:eastAsia="黑体" w:cs="Times New Roman"/>
          <w:spacing w:val="-6"/>
          <w:sz w:val="32"/>
          <w:szCs w:val="32"/>
        </w:rPr>
      </w:pPr>
      <w:r>
        <w:rPr>
          <w:rFonts w:ascii="Times New Roman" w:hAnsi="Times New Roman" w:eastAsia="黑体" w:cs="Times New Roman"/>
          <w:spacing w:val="-6"/>
          <w:sz w:val="32"/>
          <w:szCs w:val="32"/>
        </w:rPr>
        <w:t xml:space="preserve">   电力批发交易</w:t>
      </w:r>
    </w:p>
    <w:p>
      <w:pPr>
        <w:spacing w:line="540" w:lineRule="exact"/>
        <w:jc w:val="center"/>
        <w:outlineLvl w:val="1"/>
        <w:rPr>
          <w:rFonts w:ascii="Times New Roman" w:hAnsi="Times New Roman" w:eastAsia="仿宋_GB2312" w:cs="Times New Roman"/>
          <w:b/>
          <w:spacing w:val="-6"/>
          <w:sz w:val="32"/>
          <w:szCs w:val="32"/>
        </w:rPr>
      </w:pPr>
      <w:r>
        <w:rPr>
          <w:rFonts w:ascii="Times New Roman" w:hAnsi="Times New Roman" w:eastAsia="仿宋_GB2312" w:cs="Times New Roman"/>
          <w:b/>
          <w:spacing w:val="-6"/>
          <w:sz w:val="32"/>
          <w:szCs w:val="32"/>
        </w:rPr>
        <w:t>第一节   交易时序安排</w:t>
      </w:r>
    </w:p>
    <w:p>
      <w:pPr>
        <w:numPr>
          <w:ilvl w:val="0"/>
          <w:numId w:val="4"/>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电力中长期交易现阶段主要开展电能量交</w:t>
      </w:r>
      <w:r>
        <w:rPr>
          <w:rFonts w:ascii="Times New Roman" w:hAnsi="Times New Roman" w:eastAsia="仿宋_GB2312" w:cs="Times New Roman"/>
          <w:spacing w:val="-11"/>
          <w:sz w:val="32"/>
          <w:szCs w:val="32"/>
        </w:rPr>
        <w:t>易、发电权交易、合同转让交易、绿电交易等。电力批发交易方式包括年（多月、月、月内）度双边协商、集中竞价、挂牌交易等。</w:t>
      </w:r>
      <w:r>
        <w:commentReference w:id="5"/>
      </w:r>
    </w:p>
    <w:p>
      <w:pPr>
        <w:numPr>
          <w:ilvl w:val="0"/>
          <w:numId w:val="4"/>
        </w:numPr>
        <w:spacing w:line="540" w:lineRule="exact"/>
        <w:ind w:left="0" w:firstLine="628" w:firstLineChars="200"/>
        <w:jc w:val="left"/>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原则上每年12月开展次年年度双边协商交易，在12月底前完成。市场主体经过双边协商，根据交易结果，签订年度双边协商交易合同。根据年度双边协商交易情况，适时组织开展年度挂牌交易。根据月度用电需求，适时组织开展月度双边协商交易、月度集中竞价交易、月度（月内）挂牌交易。</w:t>
      </w:r>
    </w:p>
    <w:p>
      <w:pPr>
        <w:spacing w:line="540" w:lineRule="exact"/>
        <w:jc w:val="center"/>
        <w:outlineLvl w:val="1"/>
        <w:rPr>
          <w:rFonts w:ascii="Times New Roman" w:hAnsi="Times New Roman" w:eastAsia="仿宋_GB2312" w:cs="Times New Roman"/>
          <w:b/>
          <w:spacing w:val="-6"/>
          <w:sz w:val="32"/>
          <w:szCs w:val="32"/>
        </w:rPr>
      </w:pPr>
      <w:r>
        <w:rPr>
          <w:rFonts w:ascii="Times New Roman" w:hAnsi="Times New Roman" w:eastAsia="仿宋_GB2312" w:cs="Times New Roman"/>
          <w:b/>
          <w:spacing w:val="-6"/>
          <w:sz w:val="32"/>
          <w:szCs w:val="32"/>
        </w:rPr>
        <w:t>第二节   双边协商交易</w:t>
      </w:r>
    </w:p>
    <w:p>
      <w:pPr>
        <w:numPr>
          <w:ilvl w:val="0"/>
          <w:numId w:val="4"/>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参加双边协商交易的市场主体包括准入的发电企业、批发市场用户、售电公司。</w:t>
      </w:r>
    </w:p>
    <w:p>
      <w:pPr>
        <w:numPr>
          <w:ilvl w:val="0"/>
          <w:numId w:val="4"/>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双边协商交易应约定：</w:t>
      </w:r>
    </w:p>
    <w:p>
      <w:pPr>
        <w:numPr>
          <w:ilvl w:val="0"/>
          <w:numId w:val="16"/>
        </w:numPr>
        <w:spacing w:line="540" w:lineRule="exact"/>
        <w:ind w:firstLine="620"/>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年度双边协商交易意向协议，购售电双方应约定年度交易总量及全年各月分解电量。</w:t>
      </w:r>
    </w:p>
    <w:p>
      <w:pPr>
        <w:numPr>
          <w:ilvl w:val="0"/>
          <w:numId w:val="16"/>
        </w:numPr>
        <w:spacing w:line="540" w:lineRule="exact"/>
        <w:ind w:firstLine="620"/>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月度双边协商交易，购售电双方应约定月度交易总量。</w:t>
      </w:r>
    </w:p>
    <w:p>
      <w:pPr>
        <w:numPr>
          <w:ilvl w:val="0"/>
          <w:numId w:val="16"/>
        </w:numPr>
        <w:spacing w:line="540" w:lineRule="exact"/>
        <w:ind w:firstLine="620"/>
        <w:outlineLvl w:val="3"/>
        <w:rPr>
          <w:rFonts w:ascii="Times New Roman" w:hAnsi="Times New Roman" w:eastAsia="宋体" w:cs="Times New Roman"/>
          <w:spacing w:val="-6"/>
          <w:sz w:val="32"/>
          <w:szCs w:val="22"/>
        </w:rPr>
      </w:pPr>
      <w:r>
        <w:rPr>
          <w:rFonts w:ascii="Times New Roman" w:hAnsi="Times New Roman" w:eastAsia="仿宋_GB2312" w:cs="Times New Roman"/>
          <w:spacing w:val="-6"/>
          <w:sz w:val="32"/>
          <w:szCs w:val="32"/>
        </w:rPr>
        <w:t>购售电双方应约定交易价格。</w:t>
      </w:r>
    </w:p>
    <w:p>
      <w:pPr>
        <w:numPr>
          <w:ilvl w:val="0"/>
          <w:numId w:val="4"/>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年度（月度）双边协商交易启动前，电力调度机构向电力交易机构提供以下信息，通过电力交易平台等方式发布年度（月度）双边交易相关市场信息，包括但不限于：标的年（标的月）省内全社会、统调口径电力电量供需预测。</w:t>
      </w:r>
    </w:p>
    <w:p>
      <w:pPr>
        <w:numPr>
          <w:ilvl w:val="0"/>
          <w:numId w:val="4"/>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电力交易机构通过电力交易平台发布年度（月度）市场交易相关市场信息和交易公告，包括但不限于：</w:t>
      </w:r>
    </w:p>
    <w:p>
      <w:pPr>
        <w:spacing w:line="540" w:lineRule="exact"/>
        <w:ind w:firstLine="640"/>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（一）标的年（标的月）省内全社会、统调口径电力电量供需预测；</w:t>
      </w:r>
    </w:p>
    <w:p>
      <w:pPr>
        <w:spacing w:line="540" w:lineRule="exact"/>
        <w:ind w:firstLine="640"/>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（二）标的年（标的月）发电企业可参与年度（月度）双边协商交易电量的上限，电量上限由交易工作通知确定；</w:t>
      </w:r>
    </w:p>
    <w:p>
      <w:pPr>
        <w:spacing w:line="540" w:lineRule="exact"/>
        <w:ind w:firstLine="640"/>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（三）市场成员准入名单、交易开始时间、交易截止时间、结果发布时间等。</w:t>
      </w:r>
    </w:p>
    <w:p>
      <w:pPr>
        <w:numPr>
          <w:ilvl w:val="0"/>
          <w:numId w:val="4"/>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双边协商交易意向通过电力交易平台按规定的模板格式提交购售电合同至电力交易机构，申报时间以交易公告为准。申报截止时间之前，市场主体可在任意时间修改双边协商交易意向，但双边交易一方申报、另一方确认后不得再修改。</w:t>
      </w:r>
    </w:p>
    <w:p>
      <w:pPr>
        <w:numPr>
          <w:ilvl w:val="0"/>
          <w:numId w:val="4"/>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电力交易机构依据发电企业允许交易电量上限和批发市场用户、售电公司允许交易电量上限对双边协商意向进行规范性检查，形成双边协商无约束交易结果，并发布，同时转送电力调度机构进行发电侧安全校核。</w:t>
      </w:r>
    </w:p>
    <w:p>
      <w:pPr>
        <w:numPr>
          <w:ilvl w:val="0"/>
          <w:numId w:val="4"/>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电力调度机构原则上5个工作日内完成年度双边协商交易的安全校核，2个工作日内完成月度双边协商交易安全校核，并将校核结果及校核说明返回电力交易机构。</w:t>
      </w:r>
    </w:p>
    <w:p>
      <w:pPr>
        <w:numPr>
          <w:ilvl w:val="0"/>
          <w:numId w:val="4"/>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未通过安全校核的部分，由电力交易机构按照双边协商交易电量等比例调减，直至通过安全校核。</w:t>
      </w:r>
    </w:p>
    <w:p>
      <w:pPr>
        <w:numPr>
          <w:ilvl w:val="0"/>
          <w:numId w:val="4"/>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电力交易机构发布经过安全校核后的双边协商交易结果及安全校核说明。交易结果发布后，交易双方签署正式双边协商交易合同。</w:t>
      </w:r>
    </w:p>
    <w:p>
      <w:pPr>
        <w:spacing w:line="540" w:lineRule="exact"/>
        <w:jc w:val="center"/>
        <w:outlineLvl w:val="1"/>
        <w:rPr>
          <w:rFonts w:ascii="Times New Roman" w:hAnsi="Times New Roman" w:eastAsia="仿宋_GB2312" w:cs="Times New Roman"/>
          <w:b/>
          <w:spacing w:val="-6"/>
          <w:sz w:val="32"/>
          <w:szCs w:val="32"/>
        </w:rPr>
      </w:pPr>
      <w:r>
        <w:rPr>
          <w:rFonts w:ascii="Times New Roman" w:hAnsi="Times New Roman" w:eastAsia="仿宋_GB2312" w:cs="Times New Roman"/>
          <w:b/>
          <w:spacing w:val="-6"/>
          <w:sz w:val="32"/>
          <w:szCs w:val="32"/>
        </w:rPr>
        <w:t>第三节   集中竞价交易</w:t>
      </w:r>
    </w:p>
    <w:p>
      <w:pPr>
        <w:numPr>
          <w:ilvl w:val="0"/>
          <w:numId w:val="4"/>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参加集中竞价交易的主体包括准入的发电企业、批发市场用户、售电公司。</w:t>
      </w:r>
    </w:p>
    <w:p>
      <w:pPr>
        <w:numPr>
          <w:ilvl w:val="0"/>
          <w:numId w:val="4"/>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月度集中竞价按单一电量、单一价格报价，统一出清。</w:t>
      </w:r>
    </w:p>
    <w:p>
      <w:pPr>
        <w:numPr>
          <w:ilvl w:val="0"/>
          <w:numId w:val="4"/>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电力交易机构通过电力交易平台发布年度（月度）市场交易相关市场信息和交易公告，包括但不限于：</w:t>
      </w:r>
    </w:p>
    <w:p>
      <w:pPr>
        <w:numPr>
          <w:ilvl w:val="0"/>
          <w:numId w:val="17"/>
        </w:numPr>
        <w:spacing w:line="540" w:lineRule="exact"/>
        <w:ind w:firstLine="620"/>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市场成员准入范围、交易开始时间、交易截止时间、结果发布时间等；</w:t>
      </w:r>
    </w:p>
    <w:p>
      <w:pPr>
        <w:numPr>
          <w:ilvl w:val="0"/>
          <w:numId w:val="17"/>
        </w:numPr>
        <w:spacing w:line="540" w:lineRule="exact"/>
        <w:ind w:firstLine="620"/>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集中竞价交易报价及出清规则等；</w:t>
      </w:r>
    </w:p>
    <w:p>
      <w:pPr>
        <w:numPr>
          <w:ilvl w:val="0"/>
          <w:numId w:val="17"/>
        </w:numPr>
        <w:spacing w:line="540" w:lineRule="exact"/>
        <w:ind w:firstLine="620"/>
        <w:jc w:val="left"/>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各市场主体申报限额等。</w:t>
      </w:r>
    </w:p>
    <w:p>
      <w:pPr>
        <w:numPr>
          <w:ilvl w:val="0"/>
          <w:numId w:val="4"/>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集中竞价交易申报要求如下：</w:t>
      </w:r>
    </w:p>
    <w:p>
      <w:pPr>
        <w:numPr>
          <w:ilvl w:val="0"/>
          <w:numId w:val="18"/>
        </w:numPr>
        <w:spacing w:line="540" w:lineRule="exact"/>
        <w:ind w:firstLine="620"/>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各市场主体均通过电力交易平台统一申报，以申报截止前最后一次的有效申报作为最终申报；</w:t>
      </w:r>
    </w:p>
    <w:p>
      <w:pPr>
        <w:numPr>
          <w:ilvl w:val="0"/>
          <w:numId w:val="18"/>
        </w:numPr>
        <w:spacing w:line="540" w:lineRule="exact"/>
        <w:ind w:firstLine="620"/>
        <w:jc w:val="left"/>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卖方申报（发电企业）实行六段式报量、报价，报价价格逐段递增；</w:t>
      </w:r>
    </w:p>
    <w:p>
      <w:pPr>
        <w:numPr>
          <w:ilvl w:val="0"/>
          <w:numId w:val="18"/>
        </w:numPr>
        <w:spacing w:line="540" w:lineRule="exact"/>
        <w:ind w:firstLine="620"/>
        <w:jc w:val="left"/>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买方申报（批发市场用户和售电公司）实行六段式报量、报价，报价价格逐段递减。</w:t>
      </w:r>
    </w:p>
    <w:p>
      <w:pPr>
        <w:numPr>
          <w:ilvl w:val="0"/>
          <w:numId w:val="4"/>
        </w:numPr>
        <w:spacing w:line="540" w:lineRule="exact"/>
        <w:ind w:left="0" w:firstLine="628" w:firstLineChars="200"/>
        <w:outlineLvl w:val="3"/>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月度集中竞价交易排序与出清</w:t>
      </w:r>
    </w:p>
    <w:p>
      <w:pPr>
        <w:numPr>
          <w:ilvl w:val="0"/>
          <w:numId w:val="19"/>
        </w:numPr>
        <w:spacing w:line="540" w:lineRule="exact"/>
        <w:ind w:firstLine="620"/>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月度集中竞价交易采用边际统一出清方式，按照“价格优先原则”对买方申报价格由高到</w:t>
      </w:r>
      <w:r>
        <w:rPr>
          <w:rFonts w:hint="eastAsia" w:ascii="Times New Roman" w:hAnsi="Times New Roman" w:cs="Times New Roman"/>
          <w:spacing w:val="-6"/>
          <w:sz w:val="32"/>
          <w:szCs w:val="32"/>
          <w:lang w:val="en-US" w:eastAsia="zh-CN"/>
        </w:rPr>
        <w:t>低</w:t>
      </w:r>
      <w:r>
        <w:rPr>
          <w:rFonts w:ascii="Times New Roman" w:hAnsi="Times New Roman" w:eastAsia="仿宋_GB2312" w:cs="Times New Roman"/>
          <w:spacing w:val="-6"/>
          <w:sz w:val="32"/>
          <w:szCs w:val="32"/>
        </w:rPr>
        <w:t>排序，卖方申报价格由低到高排序；</w:t>
      </w:r>
    </w:p>
    <w:p>
      <w:pPr>
        <w:numPr>
          <w:ilvl w:val="0"/>
          <w:numId w:val="19"/>
        </w:numPr>
        <w:spacing w:line="540" w:lineRule="exact"/>
        <w:ind w:firstLine="620"/>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按市场边际成交价格统一出清，若买方与卖方边际成交价格不一致，则按两个价格算术平均值执行；</w:t>
      </w:r>
    </w:p>
    <w:p>
      <w:pPr>
        <w:numPr>
          <w:ilvl w:val="0"/>
          <w:numId w:val="19"/>
        </w:numPr>
        <w:spacing w:line="540" w:lineRule="exact"/>
        <w:ind w:firstLine="620"/>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若出清价格由两家及以上报价确定，则按各家该报价段所报电量比例分配成交电量。</w:t>
      </w:r>
    </w:p>
    <w:p>
      <w:pPr>
        <w:numPr>
          <w:ilvl w:val="0"/>
          <w:numId w:val="19"/>
        </w:numPr>
        <w:spacing w:line="540" w:lineRule="exact"/>
        <w:ind w:firstLine="620"/>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若发电企业总申报电量不足代理购电竞价电量，已申报电量全部中标并按当次最高申报价格结算，不足部分电量按剩余发电容量比例分摊至各统调发电企业，原则上按照当次最低报价结算。</w:t>
      </w:r>
    </w:p>
    <w:p>
      <w:pPr>
        <w:numPr>
          <w:ilvl w:val="0"/>
          <w:numId w:val="4"/>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电力交易机构将无约束交易结果通过电力交易平台发布，并同时推送电力调度机构进行发电侧安全校核。</w:t>
      </w:r>
    </w:p>
    <w:p>
      <w:pPr>
        <w:numPr>
          <w:ilvl w:val="0"/>
          <w:numId w:val="4"/>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电力调度机构在2个工作日内完成安全校核，形成有约束交易结果。如存在未通过安全校核的机组，电力交易机构根据安全校核结果及集中竞价出清办法进行二次出清。</w:t>
      </w:r>
    </w:p>
    <w:p>
      <w:pPr>
        <w:spacing w:line="540" w:lineRule="exact"/>
        <w:ind w:firstLine="628" w:firstLineChars="200"/>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电力调度机构应将有关机组未通过安全校核的原因一并转交交易机构，由电力交易平台向市场主体发布。</w:t>
      </w:r>
    </w:p>
    <w:p>
      <w:pPr>
        <w:numPr>
          <w:ilvl w:val="0"/>
          <w:numId w:val="4"/>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电力交易平台向市场主体发布有约束交易结果和安全校核说明。</w:t>
      </w:r>
    </w:p>
    <w:p>
      <w:pPr>
        <w:numPr>
          <w:ilvl w:val="0"/>
          <w:numId w:val="4"/>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 xml:space="preserve">  交易结果发布后，买方和卖方应及时对交易结果进行核对，若有问题应在1个工作日内向电力交易机构提出，由电力交易机构会同电力调度机构进行解释。逾期未提出问题的，视为无异议。交易出清后公告的各方交易结果，具备与纸质合同同等法律效力。</w:t>
      </w:r>
    </w:p>
    <w:p>
      <w:pPr>
        <w:spacing w:line="540" w:lineRule="exact"/>
        <w:jc w:val="center"/>
        <w:outlineLvl w:val="1"/>
        <w:rPr>
          <w:rFonts w:ascii="Times New Roman" w:hAnsi="Times New Roman" w:eastAsia="仿宋_GB2312" w:cs="Times New Roman"/>
          <w:b/>
          <w:spacing w:val="-6"/>
          <w:sz w:val="32"/>
          <w:szCs w:val="32"/>
        </w:rPr>
      </w:pPr>
      <w:r>
        <w:rPr>
          <w:rFonts w:ascii="Times New Roman" w:hAnsi="Times New Roman" w:eastAsia="仿宋_GB2312" w:cs="Times New Roman"/>
          <w:b/>
          <w:spacing w:val="-6"/>
          <w:sz w:val="32"/>
          <w:szCs w:val="32"/>
        </w:rPr>
        <w:t>第四节   挂牌交易</w:t>
      </w:r>
    </w:p>
    <w:p>
      <w:pPr>
        <w:numPr>
          <w:ilvl w:val="0"/>
          <w:numId w:val="4"/>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挂牌交易按照</w:t>
      </w:r>
      <w:r>
        <w:rPr>
          <w:rFonts w:hint="eastAsia" w:ascii="Times New Roman" w:hAnsi="Times New Roman" w:cs="Times New Roman"/>
          <w:spacing w:val="-6"/>
          <w:sz w:val="32"/>
          <w:szCs w:val="32"/>
          <w:lang w:val="en-US" w:eastAsia="zh-CN"/>
        </w:rPr>
        <w:t>单一电量、单一价格</w:t>
      </w:r>
      <w:r>
        <w:rPr>
          <w:rFonts w:ascii="Times New Roman" w:hAnsi="Times New Roman" w:eastAsia="仿宋_GB2312" w:cs="Times New Roman"/>
          <w:spacing w:val="-6"/>
          <w:sz w:val="32"/>
          <w:szCs w:val="32"/>
        </w:rPr>
        <w:t>进行交易组织。购售电双方均可以挂牌。</w:t>
      </w:r>
    </w:p>
    <w:p>
      <w:pPr>
        <w:numPr>
          <w:ilvl w:val="0"/>
          <w:numId w:val="4"/>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同一笔挂牌电量若被多个市场主体摘牌，则按照摘牌“时间优先”原则依序形成合同；若时间优先级相同，则按申报比例分配交易电量。电力交易平台即时滚动更新剩余交易空间。</w:t>
      </w:r>
    </w:p>
    <w:p>
      <w:pPr>
        <w:numPr>
          <w:ilvl w:val="0"/>
          <w:numId w:val="4"/>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市场主体申报总电量不得超过挂牌交易电量上限。挂牌交易闭市后，电力交易机构于第2个工作日对平台挂牌交易意向进行审核、汇总，形成平台挂牌无约束交易结果，并通过电力交易平台发布，同时推送电力调度机构进行发电侧安全校核。电力调度机构原则上在2个工作日内完成安全校核。未通过安全校核的，由电力交易机构按照平台挂牌交易电量等比例调减，直至通过安全校核。</w:t>
      </w:r>
    </w:p>
    <w:p>
      <w:pPr>
        <w:numPr>
          <w:ilvl w:val="0"/>
          <w:numId w:val="3"/>
        </w:numPr>
        <w:spacing w:line="540" w:lineRule="exact"/>
        <w:ind w:left="15" w:hanging="15"/>
        <w:jc w:val="center"/>
        <w:outlineLvl w:val="0"/>
        <w:rPr>
          <w:rFonts w:ascii="Times New Roman" w:hAnsi="Times New Roman" w:eastAsia="黑体" w:cs="Times New Roman"/>
          <w:spacing w:val="-6"/>
          <w:sz w:val="32"/>
          <w:szCs w:val="32"/>
        </w:rPr>
      </w:pPr>
      <w:r>
        <w:rPr>
          <w:rFonts w:ascii="Times New Roman" w:hAnsi="Times New Roman" w:eastAsia="黑体" w:cs="Times New Roman"/>
          <w:spacing w:val="-6"/>
          <w:sz w:val="32"/>
          <w:szCs w:val="32"/>
        </w:rPr>
        <w:t>电力零售交易</w:t>
      </w:r>
    </w:p>
    <w:p>
      <w:pPr>
        <w:numPr>
          <w:ilvl w:val="0"/>
          <w:numId w:val="4"/>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20"/>
        </w:rPr>
        <w:t>零售用户与售电公司通过在交易平台签订零售合同进行绑定，具体参照《浙江省电力零售市场管理办法》执行。</w:t>
      </w:r>
    </w:p>
    <w:p>
      <w:pPr>
        <w:spacing w:line="540" w:lineRule="exact"/>
        <w:ind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电网企业每月定期向电力交易机构推送所有参与中长期零售交易用户（含售电公司签约用户）的月度尖峰、高峰、低谷分时段</w:t>
      </w:r>
      <w:r>
        <w:rPr>
          <w:rFonts w:hint="eastAsia" w:ascii="Times New Roman" w:hAnsi="Times New Roman" w:cs="Times New Roman"/>
          <w:spacing w:val="-6"/>
          <w:sz w:val="32"/>
          <w:szCs w:val="32"/>
          <w:lang w:val="en-US" w:eastAsia="zh-CN"/>
        </w:rPr>
        <w:t>用电量、</w:t>
      </w:r>
      <w:r>
        <w:rPr>
          <w:rFonts w:ascii="Times New Roman" w:hAnsi="Times New Roman" w:eastAsia="仿宋_GB2312" w:cs="Times New Roman"/>
          <w:spacing w:val="-6"/>
          <w:sz w:val="32"/>
          <w:szCs w:val="32"/>
        </w:rPr>
        <w:t>总用电量等相关信息，电力交易机构以此提供批发市场月度结算依据，推送电网企业进行结算。</w:t>
      </w:r>
    </w:p>
    <w:p>
      <w:pPr>
        <w:numPr>
          <w:ilvl w:val="0"/>
          <w:numId w:val="4"/>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kern w:val="0"/>
          <w:sz w:val="32"/>
          <w:szCs w:val="32"/>
        </w:rPr>
        <w:t>用户变更售电公司包括用户与售电公司关系的建立、变更、解除。</w:t>
      </w:r>
    </w:p>
    <w:p>
      <w:pPr>
        <w:spacing w:line="540" w:lineRule="exact"/>
        <w:ind w:firstLine="628" w:firstLineChars="200"/>
        <w:outlineLvl w:val="1"/>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（一）用户与售电公司建立购售电关系时，应同时满足以下条件：</w:t>
      </w:r>
    </w:p>
    <w:p>
      <w:pPr>
        <w:autoSpaceDE w:val="0"/>
        <w:autoSpaceDN w:val="0"/>
        <w:spacing w:line="540" w:lineRule="exact"/>
        <w:ind w:firstLine="628" w:firstLineChars="20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1.申请用户无欠费；</w:t>
      </w:r>
    </w:p>
    <w:p>
      <w:pPr>
        <w:autoSpaceDE w:val="0"/>
        <w:autoSpaceDN w:val="0"/>
        <w:spacing w:line="540" w:lineRule="exact"/>
        <w:ind w:firstLine="628" w:firstLineChars="20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2.申请用户已与售电公司签订购售电合同；</w:t>
      </w:r>
    </w:p>
    <w:p>
      <w:pPr>
        <w:autoSpaceDE w:val="0"/>
        <w:autoSpaceDN w:val="0"/>
        <w:spacing w:line="540" w:lineRule="exact"/>
        <w:ind w:firstLine="628" w:firstLineChars="20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3.售电公司已在电力交易机构完成市场注册；</w:t>
      </w:r>
    </w:p>
    <w:p>
      <w:pPr>
        <w:autoSpaceDE w:val="0"/>
        <w:autoSpaceDN w:val="0"/>
        <w:spacing w:line="540" w:lineRule="exact"/>
        <w:ind w:firstLine="628" w:firstLineChars="200"/>
        <w:outlineLvl w:val="1"/>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（二）</w:t>
      </w:r>
      <w:r>
        <w:rPr>
          <w:rFonts w:ascii="Times New Roman" w:hAnsi="Times New Roman" w:eastAsia="仿宋_GB2312" w:cs="Times New Roman"/>
          <w:spacing w:val="-17"/>
          <w:kern w:val="0"/>
          <w:sz w:val="32"/>
          <w:szCs w:val="32"/>
        </w:rPr>
        <w:t>用户与售电公司变更购售关系时，应同时满足以下条件：</w:t>
      </w:r>
    </w:p>
    <w:p>
      <w:pPr>
        <w:autoSpaceDE w:val="0"/>
        <w:autoSpaceDN w:val="0"/>
        <w:spacing w:line="540" w:lineRule="exact"/>
        <w:ind w:firstLine="628" w:firstLineChars="20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1.申请用户无欠费，无业扩及变更类在途流程；</w:t>
      </w:r>
    </w:p>
    <w:p>
      <w:pPr>
        <w:autoSpaceDE w:val="0"/>
        <w:autoSpaceDN w:val="0"/>
        <w:spacing w:line="540" w:lineRule="exact"/>
        <w:ind w:firstLine="628" w:firstLineChars="20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2.申请用户拟转至的售电公司已在电力交易机构注册；</w:t>
      </w:r>
    </w:p>
    <w:p>
      <w:pPr>
        <w:autoSpaceDE w:val="0"/>
        <w:autoSpaceDN w:val="0"/>
        <w:spacing w:line="540" w:lineRule="exact"/>
        <w:ind w:firstLine="628" w:firstLineChars="20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3.申请用户应提供与原售电公司解除购售电合同的证明材料；</w:t>
      </w:r>
    </w:p>
    <w:p>
      <w:pPr>
        <w:autoSpaceDE w:val="0"/>
        <w:autoSpaceDN w:val="0"/>
        <w:spacing w:line="540" w:lineRule="exact"/>
        <w:ind w:firstLine="628" w:firstLineChars="20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4.申请用户已与新售电公司签订购售电合同。</w:t>
      </w:r>
    </w:p>
    <w:p>
      <w:pPr>
        <w:autoSpaceDE w:val="0"/>
        <w:autoSpaceDN w:val="0"/>
        <w:spacing w:line="540" w:lineRule="exact"/>
        <w:ind w:firstLine="628" w:firstLineChars="200"/>
        <w:outlineLvl w:val="1"/>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（三）用户与售电公司解除购售关系时，应同时满足以下条件：</w:t>
      </w:r>
    </w:p>
    <w:p>
      <w:pPr>
        <w:autoSpaceDE w:val="0"/>
        <w:autoSpaceDN w:val="0"/>
        <w:spacing w:line="540" w:lineRule="exact"/>
        <w:ind w:firstLine="628" w:firstLineChars="20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1.申请用户无欠费，无业扩及变更类在途流程；</w:t>
      </w:r>
    </w:p>
    <w:p>
      <w:pPr>
        <w:autoSpaceDE w:val="0"/>
        <w:autoSpaceDN w:val="0"/>
        <w:spacing w:line="540" w:lineRule="exact"/>
        <w:ind w:firstLine="628" w:firstLineChars="20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2.申请用户应提供与售电公司解除购售电合同的证明材料。</w:t>
      </w:r>
    </w:p>
    <w:p>
      <w:pPr>
        <w:autoSpaceDE w:val="0"/>
        <w:autoSpaceDN w:val="0"/>
        <w:spacing w:line="540" w:lineRule="exact"/>
        <w:ind w:firstLine="628" w:firstLineChars="200"/>
        <w:jc w:val="left"/>
        <w:rPr>
          <w:rFonts w:ascii="Times New Roman" w:hAnsi="Times New Roman" w:eastAsia="仿宋_GB2312" w:cs="Times New Roman"/>
          <w:spacing w:val="-6"/>
          <w:sz w:val="32"/>
          <w:szCs w:val="32"/>
        </w:rPr>
      </w:pPr>
      <w:r>
        <w:rPr>
          <w:rFonts w:ascii="Times New Roman" w:hAnsi="Times New Roman" w:eastAsia="仿宋_GB2312" w:cs="Times New Roman"/>
          <w:spacing w:val="-6"/>
          <w:kern w:val="0"/>
          <w:sz w:val="32"/>
          <w:szCs w:val="32"/>
        </w:rPr>
        <w:t>3.申请用户发生破产、清算等情况下解除购售电合同，按国家有关规定执行。</w:t>
      </w:r>
    </w:p>
    <w:p>
      <w:pPr>
        <w:numPr>
          <w:ilvl w:val="0"/>
          <w:numId w:val="3"/>
        </w:numPr>
        <w:spacing w:line="540" w:lineRule="exact"/>
        <w:ind w:left="15" w:hanging="15"/>
        <w:jc w:val="center"/>
        <w:outlineLvl w:val="0"/>
        <w:rPr>
          <w:rFonts w:ascii="Times New Roman" w:hAnsi="Times New Roman" w:eastAsia="黑体" w:cs="Times New Roman"/>
          <w:spacing w:val="-6"/>
          <w:sz w:val="32"/>
          <w:szCs w:val="32"/>
        </w:rPr>
      </w:pPr>
      <w:r>
        <w:rPr>
          <w:rFonts w:ascii="Times New Roman" w:hAnsi="Times New Roman" w:eastAsia="黑体" w:cs="Times New Roman"/>
          <w:spacing w:val="-6"/>
          <w:sz w:val="32"/>
          <w:szCs w:val="32"/>
        </w:rPr>
        <w:t>合同签订与执行</w:t>
      </w:r>
    </w:p>
    <w:p>
      <w:pPr>
        <w:numPr>
          <w:ilvl w:val="0"/>
          <w:numId w:val="20"/>
        </w:numPr>
        <w:spacing w:line="540" w:lineRule="exact"/>
        <w:ind w:left="16" w:hanging="16"/>
        <w:jc w:val="center"/>
        <w:outlineLvl w:val="1"/>
        <w:rPr>
          <w:rFonts w:ascii="Times New Roman" w:hAnsi="Times New Roman" w:eastAsia="仿宋_GB2312" w:cs="Times New Roman"/>
          <w:b/>
          <w:spacing w:val="-6"/>
          <w:sz w:val="32"/>
          <w:szCs w:val="32"/>
        </w:rPr>
      </w:pPr>
      <w:r>
        <w:rPr>
          <w:rFonts w:ascii="Times New Roman" w:hAnsi="Times New Roman" w:eastAsia="仿宋_GB2312" w:cs="Times New Roman"/>
          <w:b/>
          <w:spacing w:val="-6"/>
          <w:sz w:val="32"/>
          <w:szCs w:val="32"/>
        </w:rPr>
        <w:t>合同签订</w:t>
      </w:r>
    </w:p>
    <w:p>
      <w:pPr>
        <w:numPr>
          <w:ilvl w:val="0"/>
          <w:numId w:val="4"/>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各市场主体应参照浙江能源监管办、电力交易中心提供的合同示范文本签订各类电力交易合同。</w:t>
      </w:r>
    </w:p>
    <w:p>
      <w:pPr>
        <w:numPr>
          <w:ilvl w:val="0"/>
          <w:numId w:val="4"/>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电力中长期合同（协议）主要包括以下类型：</w:t>
      </w:r>
    </w:p>
    <w:p>
      <w:pPr>
        <w:spacing w:line="540" w:lineRule="exact"/>
        <w:ind w:firstLine="628" w:firstLineChars="200"/>
        <w:outlineLvl w:val="3"/>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（一）售电公司与其代理的电力用户签订的购售电合同；</w:t>
      </w:r>
    </w:p>
    <w:p>
      <w:pPr>
        <w:spacing w:line="540" w:lineRule="exact"/>
        <w:ind w:firstLine="628" w:firstLineChars="200"/>
        <w:outlineLvl w:val="3"/>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（二）发电企业与售电公司、电力用户签订的年度（月度）双边协商交易合同；</w:t>
      </w:r>
    </w:p>
    <w:p>
      <w:pPr>
        <w:spacing w:line="540" w:lineRule="exact"/>
        <w:ind w:firstLine="628" w:firstLineChars="200"/>
        <w:outlineLvl w:val="3"/>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（三）售电公司（批发市场用户）与发电企业、电网企业签订的输配电服务合同或参与交易承诺书；</w:t>
      </w:r>
    </w:p>
    <w:p>
      <w:pPr>
        <w:spacing w:line="540" w:lineRule="exact"/>
        <w:ind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（四）电力交易机构出具的电力交易中标通知书有约束电力交易结果，与合同具备同等效力。</w:t>
      </w:r>
    </w:p>
    <w:p>
      <w:pPr>
        <w:numPr>
          <w:ilvl w:val="0"/>
          <w:numId w:val="4"/>
        </w:numPr>
        <w:adjustRightInd w:val="0"/>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各类交易合同原则上应当采用电子合同签订，电力交易平台应当满足国家电子合同有关规定的技术要求，市场成员应当依法使用可靠的电子签名，电子合同与纸质合同具备同等效力。初期可视情况设置过渡期，同时采用电子合同和纸质合同。</w:t>
      </w:r>
    </w:p>
    <w:p>
      <w:pPr>
        <w:numPr>
          <w:ilvl w:val="0"/>
          <w:numId w:val="4"/>
        </w:numPr>
        <w:adjustRightInd w:val="0"/>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暂无法直接参与市场交易的工商业用户可由电网企业代理购电，与电网企业签订代理购电合同。在规定时限内，未直接参与市场交易、也未与电网企业签订代理购售电合同的用户，默认由电网企业代理购电。由电网企业代理购电的电力用户，可在每季度最后15日前选择下一季度起直接参与市场交易，电网企业代理购电也相应终止。</w:t>
      </w:r>
    </w:p>
    <w:p>
      <w:pPr>
        <w:numPr>
          <w:ilvl w:val="0"/>
          <w:numId w:val="20"/>
        </w:numPr>
        <w:spacing w:line="540" w:lineRule="exact"/>
        <w:ind w:left="1976" w:hanging="1976"/>
        <w:jc w:val="center"/>
        <w:outlineLvl w:val="1"/>
        <w:rPr>
          <w:rFonts w:ascii="Times New Roman" w:hAnsi="Times New Roman" w:eastAsia="仿宋_GB2312" w:cs="Times New Roman"/>
          <w:b/>
          <w:spacing w:val="-6"/>
          <w:sz w:val="32"/>
          <w:szCs w:val="32"/>
        </w:rPr>
      </w:pPr>
      <w:r>
        <w:rPr>
          <w:rFonts w:ascii="Times New Roman" w:hAnsi="Times New Roman" w:eastAsia="仿宋_GB2312" w:cs="Times New Roman"/>
          <w:b/>
          <w:spacing w:val="-6"/>
          <w:sz w:val="32"/>
          <w:szCs w:val="32"/>
        </w:rPr>
        <w:t>合同执行</w:t>
      </w:r>
    </w:p>
    <w:p>
      <w:pPr>
        <w:numPr>
          <w:ilvl w:val="0"/>
          <w:numId w:val="4"/>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现货市场未运行时，电力交易机构根据年度双边协商交易和年度挂牌交易的月度电量分解安排、月度双边协商交易电量、月度集中竞价交易和月度挂牌交易成交结果，形成发电企业的电力中长期交易电量月度发电安排。电力调度机构负责根据经安全校核后的市场交易月度电量和其他发电计划，合理安排电网运行方式。现货市场运行时，电力中长期合同转化为差价合约执行。电力交易机构应按月将月度发电安排报省发展改革委、省能源局和浙江能源监管办。</w:t>
      </w:r>
    </w:p>
    <w:p>
      <w:pPr>
        <w:numPr>
          <w:ilvl w:val="0"/>
          <w:numId w:val="4"/>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电力系统发生紧急情况时，电力调度机构可基于安全优先的原则实施调度，并于事后向省发展改革委、省能源局和浙江能源监管办书面报告事件经过。紧急情况导致的经济损失，有明确责任主体的，由相关责任主体承担经济责任。</w:t>
      </w:r>
    </w:p>
    <w:p>
      <w:pPr>
        <w:numPr>
          <w:ilvl w:val="0"/>
          <w:numId w:val="20"/>
        </w:numPr>
        <w:spacing w:line="540" w:lineRule="exact"/>
        <w:ind w:left="8" w:hanging="8"/>
        <w:jc w:val="center"/>
        <w:outlineLvl w:val="1"/>
        <w:rPr>
          <w:rFonts w:ascii="Times New Roman" w:hAnsi="Times New Roman" w:eastAsia="仿宋_GB2312" w:cs="Times New Roman"/>
          <w:b/>
          <w:spacing w:val="-6"/>
          <w:sz w:val="32"/>
          <w:szCs w:val="32"/>
        </w:rPr>
      </w:pPr>
      <w:r>
        <w:rPr>
          <w:rFonts w:ascii="Times New Roman" w:hAnsi="Times New Roman" w:eastAsia="仿宋_GB2312" w:cs="Times New Roman"/>
          <w:b/>
          <w:spacing w:val="-6"/>
          <w:sz w:val="32"/>
          <w:szCs w:val="32"/>
        </w:rPr>
        <w:t>合同电量偏差处理</w:t>
      </w:r>
    </w:p>
    <w:p>
      <w:pPr>
        <w:numPr>
          <w:ilvl w:val="0"/>
          <w:numId w:val="4"/>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现货市场未运行时，年度合同的执行周期内，在购售输电三方一致同意的基础上，保持后续月度总电量均不变的前提下，允许在本月修改后续月的合同分月计划，修改后的分月计划需要提交电力调度机构安全校核并报省发展改革委、省能源局和浙江能源监管办后执行。现货市场运行时按照现货运行机制执行。</w:t>
      </w:r>
    </w:p>
    <w:p>
      <w:pPr>
        <w:numPr>
          <w:ilvl w:val="0"/>
          <w:numId w:val="4"/>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批发市场用户或售电公司可以通过参与月度竞价交易等方式控制合同电量偏差。</w:t>
      </w:r>
    </w:p>
    <w:p>
      <w:pPr>
        <w:numPr>
          <w:ilvl w:val="0"/>
          <w:numId w:val="4"/>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发电企业、批发市场用户、售电公司电力中长期交易的合同偏差电量，采取“月结月清”的方式结算偏差电量，不滚动调整。</w:t>
      </w:r>
    </w:p>
    <w:p>
      <w:pPr>
        <w:numPr>
          <w:ilvl w:val="0"/>
          <w:numId w:val="3"/>
        </w:numPr>
        <w:spacing w:line="540" w:lineRule="exact"/>
        <w:ind w:left="0" w:leftChars="0" w:hanging="3"/>
        <w:jc w:val="center"/>
        <w:outlineLvl w:val="0"/>
        <w:rPr>
          <w:rFonts w:ascii="Times New Roman" w:hAnsi="Times New Roman" w:eastAsia="黑体" w:cs="Times New Roman"/>
          <w:spacing w:val="-6"/>
          <w:sz w:val="32"/>
          <w:szCs w:val="32"/>
        </w:rPr>
      </w:pPr>
      <w:r>
        <w:rPr>
          <w:rFonts w:ascii="Times New Roman" w:hAnsi="Times New Roman" w:eastAsia="黑体" w:cs="Times New Roman"/>
          <w:spacing w:val="-6"/>
          <w:sz w:val="32"/>
          <w:szCs w:val="32"/>
        </w:rPr>
        <w:t>计量和结算</w:t>
      </w:r>
    </w:p>
    <w:p>
      <w:pPr>
        <w:numPr>
          <w:ilvl w:val="0"/>
          <w:numId w:val="21"/>
        </w:numPr>
        <w:spacing w:line="540" w:lineRule="exact"/>
        <w:ind w:left="0" w:hanging="5"/>
        <w:jc w:val="center"/>
        <w:outlineLvl w:val="1"/>
        <w:rPr>
          <w:rFonts w:ascii="Times New Roman" w:hAnsi="Times New Roman" w:eastAsia="仿宋_GB2312" w:cs="Times New Roman"/>
          <w:b/>
          <w:spacing w:val="-6"/>
          <w:sz w:val="32"/>
          <w:szCs w:val="32"/>
        </w:rPr>
      </w:pPr>
      <w:r>
        <w:rPr>
          <w:rFonts w:ascii="Times New Roman" w:hAnsi="Times New Roman" w:eastAsia="仿宋_GB2312" w:cs="Times New Roman"/>
          <w:b/>
          <w:spacing w:val="-6"/>
          <w:sz w:val="32"/>
          <w:szCs w:val="32"/>
        </w:rPr>
        <w:t>计量</w:t>
      </w:r>
    </w:p>
    <w:p>
      <w:pPr>
        <w:numPr>
          <w:ilvl w:val="0"/>
          <w:numId w:val="4"/>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电网企业应当根据市场运行需要为市场主体安装符合国家技术规范的计量装置；计量装置原则上安装在产权分界点，产权分界点无法安装计量装置的，考虑相应的变（线）损。</w:t>
      </w:r>
    </w:p>
    <w:p>
      <w:pPr>
        <w:numPr>
          <w:ilvl w:val="0"/>
          <w:numId w:val="4"/>
        </w:numPr>
        <w:spacing w:line="540" w:lineRule="exact"/>
        <w:ind w:left="0" w:firstLine="628" w:firstLineChars="200"/>
        <w:outlineLvl w:val="2"/>
        <w:rPr>
          <w:rFonts w:ascii="Times New Roman" w:hAnsi="Times New Roman" w:eastAsia="宋体" w:cs="Times New Roman"/>
          <w:spacing w:val="-6"/>
          <w:sz w:val="32"/>
          <w:szCs w:val="32"/>
        </w:rPr>
      </w:pPr>
      <w:r>
        <w:rPr>
          <w:rFonts w:ascii="Times New Roman" w:hAnsi="Times New Roman" w:eastAsia="仿宋_GB2312" w:cs="Times New Roman"/>
          <w:spacing w:val="-6"/>
          <w:sz w:val="32"/>
          <w:szCs w:val="32"/>
        </w:rPr>
        <w:t>电力用户应分电压等级分户号计量。同一个工商营业执照，按照户号分别参加交易。如计量点存在居民、农业等与工业电量混合计量的情况，应在合同中明确拆分方法。为统计售电公司月度电量的偏差，应按照电网企业明确的计量点，做汇总统计。</w:t>
      </w:r>
    </w:p>
    <w:p>
      <w:pPr>
        <w:numPr>
          <w:ilvl w:val="0"/>
          <w:numId w:val="4"/>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电网企业应按照电力市场结算要求定期抄录发电企业和电力用户电能计量装置数据，并按照相关规定提交电力交易机构和相关市场成员。</w:t>
      </w:r>
    </w:p>
    <w:p>
      <w:pPr>
        <w:numPr>
          <w:ilvl w:val="0"/>
          <w:numId w:val="21"/>
        </w:numPr>
        <w:spacing w:line="540" w:lineRule="exact"/>
        <w:ind w:left="1125" w:hanging="1125"/>
        <w:jc w:val="center"/>
        <w:outlineLvl w:val="1"/>
        <w:rPr>
          <w:rFonts w:ascii="Times New Roman" w:hAnsi="Times New Roman" w:eastAsia="仿宋_GB2312" w:cs="Times New Roman"/>
          <w:b/>
          <w:spacing w:val="-6"/>
          <w:sz w:val="32"/>
          <w:szCs w:val="32"/>
        </w:rPr>
      </w:pPr>
      <w:r>
        <w:rPr>
          <w:rFonts w:ascii="Times New Roman" w:hAnsi="Times New Roman" w:eastAsia="仿宋_GB2312" w:cs="Times New Roman"/>
          <w:b/>
          <w:spacing w:val="-6"/>
          <w:sz w:val="32"/>
          <w:szCs w:val="32"/>
        </w:rPr>
        <w:t>结算的基本原则</w:t>
      </w:r>
    </w:p>
    <w:p>
      <w:pPr>
        <w:numPr>
          <w:ilvl w:val="0"/>
          <w:numId w:val="4"/>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电力交易机构负责向市场主体出具结算依据，市场主体根据相关规则进行结算。</w:t>
      </w:r>
    </w:p>
    <w:p>
      <w:pPr>
        <w:numPr>
          <w:ilvl w:val="0"/>
          <w:numId w:val="4"/>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各市场主体保持与电网企业的电费结算支付方式不变，并由电网企业承担用户侧欠费风险，保障交易电费资金安全。</w:t>
      </w:r>
    </w:p>
    <w:p>
      <w:pPr>
        <w:numPr>
          <w:ilvl w:val="0"/>
          <w:numId w:val="4"/>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发电企业、售电公司、批发市场用户电量电费按照电力交易机构出具的结算依据与电网企业进行结算，按月清算、结账。</w:t>
      </w:r>
    </w:p>
    <w:p>
      <w:pPr>
        <w:numPr>
          <w:ilvl w:val="0"/>
          <w:numId w:val="4"/>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电力用户的基本电费、政府基金及附加、输配电价、功率因数调整等按照现行政策执行，结算时购电价格按分时电价峰谷时段及浮动比例执行。</w:t>
      </w:r>
    </w:p>
    <w:p>
      <w:pPr>
        <w:numPr>
          <w:ilvl w:val="0"/>
          <w:numId w:val="4"/>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电力交易机构向各市场主体（零售用户除外）提供结算依据，包括以下部分：</w:t>
      </w:r>
    </w:p>
    <w:p>
      <w:pPr>
        <w:numPr>
          <w:ilvl w:val="0"/>
          <w:numId w:val="22"/>
        </w:numPr>
        <w:spacing w:line="540" w:lineRule="exact"/>
        <w:ind w:firstLine="620"/>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发电企业的结算依据。包括本月电力中长期市场实际上网电量、每笔合同结算电量/电价、交易合同偏差电量/电价，每笔合同结算费用、交易合同偏差费用等信息；</w:t>
      </w:r>
    </w:p>
    <w:p>
      <w:pPr>
        <w:numPr>
          <w:ilvl w:val="0"/>
          <w:numId w:val="22"/>
        </w:numPr>
        <w:spacing w:line="540" w:lineRule="exact"/>
        <w:ind w:firstLine="620"/>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批发市场用户的结算依据。包括该用户分户号和电压等级的实际用电量、每笔合同结算电量/电价、交易合同偏差电量/电价，每笔合同结算费用、交易合同偏差费用、总结算费用等信息；</w:t>
      </w:r>
    </w:p>
    <w:p>
      <w:pPr>
        <w:numPr>
          <w:ilvl w:val="0"/>
          <w:numId w:val="22"/>
        </w:numPr>
        <w:spacing w:line="540" w:lineRule="exact"/>
        <w:ind w:firstLine="620"/>
        <w:jc w:val="left"/>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零售用户的结算依据。电网企业根据电力交易平台传递的合同及绑定关系、零售套餐等信息及抄表电量，计算零售交易电费，经售电公司确认后，叠加</w:t>
      </w:r>
      <w:r>
        <w:rPr>
          <w:rFonts w:hint="eastAsia" w:ascii="Times New Roman" w:hAnsi="Times New Roman" w:cs="Times New Roman"/>
          <w:spacing w:val="-6"/>
          <w:sz w:val="32"/>
          <w:szCs w:val="32"/>
          <w:lang w:val="en-US" w:eastAsia="zh-CN"/>
        </w:rPr>
        <w:t>分摊（享）费用、</w:t>
      </w:r>
      <w:commentRangeStart w:id="6"/>
      <w:r>
        <w:rPr>
          <w:rFonts w:hint="eastAsia" w:ascii="Times New Roman" w:hAnsi="Times New Roman" w:eastAsia="仿宋_GB2312" w:cs="Times New Roman"/>
          <w:spacing w:val="-6"/>
          <w:sz w:val="32"/>
          <w:szCs w:val="32"/>
        </w:rPr>
        <w:t>上网环节线损费用</w:t>
      </w:r>
      <w:r>
        <w:rPr>
          <w:rFonts w:hint="eastAsia" w:ascii="Times New Roman" w:hAnsi="Times New Roman" w:cs="Times New Roman"/>
          <w:spacing w:val="-6"/>
          <w:sz w:val="32"/>
          <w:szCs w:val="32"/>
          <w:lang w:eastAsia="zh-CN"/>
        </w:rPr>
        <w:t>、</w:t>
      </w:r>
      <w:r>
        <w:rPr>
          <w:rFonts w:ascii="Times New Roman" w:hAnsi="Times New Roman" w:eastAsia="仿宋_GB2312" w:cs="Times New Roman"/>
          <w:spacing w:val="-6"/>
          <w:sz w:val="32"/>
          <w:szCs w:val="32"/>
        </w:rPr>
        <w:t>输配电费、</w:t>
      </w:r>
      <w:r>
        <w:rPr>
          <w:rFonts w:hint="eastAsia" w:ascii="Times New Roman" w:hAnsi="Times New Roman" w:eastAsia="仿宋_GB2312" w:cs="Times New Roman"/>
          <w:spacing w:val="-6"/>
          <w:sz w:val="32"/>
          <w:szCs w:val="32"/>
        </w:rPr>
        <w:t>系统运行费用</w:t>
      </w:r>
      <w:r>
        <w:rPr>
          <w:rFonts w:hint="eastAsia" w:ascii="Times New Roman" w:hAnsi="Times New Roman" w:cs="Times New Roman"/>
          <w:spacing w:val="-6"/>
          <w:sz w:val="32"/>
          <w:szCs w:val="32"/>
          <w:lang w:eastAsia="zh-CN"/>
        </w:rPr>
        <w:t>、</w:t>
      </w:r>
      <w:commentRangeEnd w:id="6"/>
      <w:r>
        <w:commentReference w:id="6"/>
      </w:r>
      <w:r>
        <w:rPr>
          <w:rFonts w:ascii="Times New Roman" w:hAnsi="Times New Roman" w:eastAsia="仿宋_GB2312" w:cs="Times New Roman"/>
          <w:spacing w:val="-6"/>
          <w:sz w:val="32"/>
          <w:szCs w:val="32"/>
        </w:rPr>
        <w:t>政府性基金及附加等费用后，</w:t>
      </w:r>
      <w:r>
        <w:rPr>
          <w:rFonts w:hint="eastAsia" w:ascii="Times New Roman" w:hAnsi="Times New Roman" w:cs="Times New Roman"/>
          <w:spacing w:val="-6"/>
          <w:sz w:val="32"/>
          <w:szCs w:val="32"/>
          <w:lang w:val="en-US" w:eastAsia="zh-CN"/>
        </w:rPr>
        <w:t>分时用户</w:t>
      </w:r>
      <w:r>
        <w:rPr>
          <w:rFonts w:hint="eastAsia" w:ascii="Times New Roman" w:hAnsi="Times New Roman" w:eastAsia="仿宋_GB2312" w:cs="Times New Roman"/>
          <w:spacing w:val="-6"/>
          <w:sz w:val="32"/>
          <w:szCs w:val="32"/>
        </w:rPr>
        <w:t>按照分时电价政策规定的浮动比例形成分时结算价格，</w:t>
      </w:r>
      <w:r>
        <w:rPr>
          <w:rFonts w:hint="eastAsia" w:ascii="Times New Roman" w:hAnsi="Times New Roman" w:cs="Times New Roman"/>
          <w:spacing w:val="-6"/>
          <w:sz w:val="32"/>
          <w:szCs w:val="32"/>
          <w:lang w:val="en-US" w:eastAsia="zh-CN"/>
        </w:rPr>
        <w:t>并</w:t>
      </w:r>
      <w:r>
        <w:rPr>
          <w:rFonts w:ascii="Times New Roman" w:hAnsi="Times New Roman" w:eastAsia="仿宋_GB2312" w:cs="Times New Roman"/>
          <w:spacing w:val="-6"/>
          <w:sz w:val="32"/>
          <w:szCs w:val="32"/>
        </w:rPr>
        <w:t>形成零售用户结算总电费，出具零售用户电费账单；</w:t>
      </w:r>
    </w:p>
    <w:p>
      <w:pPr>
        <w:numPr>
          <w:ilvl w:val="0"/>
          <w:numId w:val="22"/>
        </w:numPr>
        <w:spacing w:line="540" w:lineRule="exact"/>
        <w:ind w:firstLine="620"/>
        <w:jc w:val="left"/>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售电公司的结算依据由两部分组成，一是批发市场中与发电企业签订的每笔合同结算电量/电价、交易合同偏差电量/电价，每笔合同结算费用、交易合同偏差费用等，由电力交易机构提供，电力交易机构与售电公司确认；二是零售市场中与其签约的电力用户合同结算电量/电价、合同偏差电费，由电网企业提供。上述两部分电费分别记账、结算；</w:t>
      </w:r>
    </w:p>
    <w:p>
      <w:pPr>
        <w:numPr>
          <w:ilvl w:val="0"/>
          <w:numId w:val="22"/>
        </w:numPr>
        <w:spacing w:line="540" w:lineRule="exact"/>
        <w:ind w:firstLine="620"/>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电力交易机构将确认后的电力中长期结算依据提供给电网企业，包括合同结算费用、交易合同偏差费用、总结算费用等；</w:t>
      </w:r>
    </w:p>
    <w:p>
      <w:pPr>
        <w:numPr>
          <w:ilvl w:val="0"/>
          <w:numId w:val="22"/>
        </w:numPr>
        <w:spacing w:line="540" w:lineRule="exact"/>
        <w:ind w:firstLine="620"/>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发电企业接收电费结算依据后，应进行校核确认，如有异议在3个工作日内通知电力交易机构，逾期则视同没有异议。批发市场用户、售电公司接收批发市场电费结算依据后，应进行校核确认，如有异议在应在2个自然日内通知电力交易机构，逾期则视同没有异议。</w:t>
      </w:r>
    </w:p>
    <w:p>
      <w:pPr>
        <w:numPr>
          <w:ilvl w:val="0"/>
          <w:numId w:val="4"/>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批发市场交易合同偏差费用由电力交易机构计算，并按规定提供结算依据，反馈给市场主体。批发市场用户交易合同偏差费用由电网企业在电费清单中单项列示；售电公司偏差调整电费纳入与电网企业结算范围，按照对冲抵消结果开具发票并单项列示；发电企业偏差调整电费在向电网企业开具上网或交易电费发票中扣减并单项列示。</w:t>
      </w:r>
    </w:p>
    <w:p>
      <w:pPr>
        <w:numPr>
          <w:ilvl w:val="0"/>
          <w:numId w:val="4"/>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售电公司可参照本规则在购售电合同中与零售用户约定交易合同偏差费用处理办法。</w:t>
      </w:r>
    </w:p>
    <w:p>
      <w:pPr>
        <w:numPr>
          <w:ilvl w:val="0"/>
          <w:numId w:val="4"/>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对于同一市场成员，多个用电户号共同签订电力中长期交易合同的情况，按照各用电户号的实际用电量进行合同结算电量的拆分。</w:t>
      </w:r>
    </w:p>
    <w:p>
      <w:pPr>
        <w:numPr>
          <w:ilvl w:val="0"/>
          <w:numId w:val="4"/>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现货市场运行时，各类中长期合同转化为差价合约，按照现货市场规则进行结算。</w:t>
      </w:r>
    </w:p>
    <w:p>
      <w:pPr>
        <w:widowControl/>
        <w:numPr>
          <w:ilvl w:val="0"/>
          <w:numId w:val="21"/>
        </w:numPr>
        <w:spacing w:line="540" w:lineRule="exact"/>
        <w:ind w:left="5" w:hanging="5"/>
        <w:jc w:val="center"/>
        <w:outlineLvl w:val="1"/>
        <w:rPr>
          <w:rFonts w:ascii="Times New Roman" w:hAnsi="Times New Roman" w:eastAsia="仿宋_GB2312" w:cs="Times New Roman"/>
          <w:spacing w:val="-6"/>
          <w:sz w:val="32"/>
          <w:szCs w:val="32"/>
        </w:rPr>
      </w:pPr>
      <w:r>
        <w:rPr>
          <w:rFonts w:ascii="Times New Roman" w:hAnsi="Times New Roman" w:eastAsia="仿宋_GB2312" w:cs="Times New Roman"/>
          <w:b/>
          <w:spacing w:val="-6"/>
          <w:sz w:val="32"/>
          <w:szCs w:val="32"/>
        </w:rPr>
        <w:t>电力用户的结算</w:t>
      </w:r>
    </w:p>
    <w:p>
      <w:pPr>
        <w:keepNext w:val="0"/>
        <w:keepLines w:val="0"/>
        <w:widowControl w:val="0"/>
        <w:numPr>
          <w:ilvl w:val="0"/>
          <w:numId w:val="4"/>
        </w:numPr>
        <w:suppressLineNumbers w:val="0"/>
        <w:spacing w:before="0" w:beforeAutospacing="0" w:after="0" w:afterAutospacing="0" w:line="540" w:lineRule="exact"/>
        <w:ind w:left="0" w:right="0" w:firstLine="420"/>
        <w:jc w:val="both"/>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当批发市场用户月度实际</w:t>
      </w:r>
      <w:r>
        <w:rPr>
          <w:rFonts w:hint="eastAsia" w:ascii="Times New Roman" w:hAnsi="Times New Roman" w:eastAsia="仿宋_GB2312" w:cs="Times New Roman"/>
          <w:spacing w:val="-6"/>
          <w:sz w:val="32"/>
          <w:szCs w:val="32"/>
        </w:rPr>
        <w:t>总用电量</w:t>
      </w:r>
      <w:r>
        <w:rPr>
          <w:rFonts w:ascii="Times New Roman" w:hAnsi="Times New Roman" w:eastAsia="仿宋_GB2312" w:cs="Times New Roman"/>
          <w:spacing w:val="-6"/>
          <w:sz w:val="32"/>
          <w:szCs w:val="32"/>
        </w:rPr>
        <w:t>超过月度合同对应</w:t>
      </w:r>
      <w:r>
        <w:rPr>
          <w:rFonts w:hint="eastAsia" w:ascii="Times New Roman" w:hAnsi="Times New Roman" w:eastAsia="仿宋_GB2312" w:cs="Times New Roman"/>
          <w:spacing w:val="-6"/>
          <w:sz w:val="32"/>
          <w:szCs w:val="32"/>
        </w:rPr>
        <w:t>总用电量</w:t>
      </w:r>
      <w:r>
        <w:rPr>
          <w:rFonts w:ascii="Times New Roman" w:hAnsi="Times New Roman" w:eastAsia="仿宋_GB2312" w:cs="Times New Roman"/>
          <w:spacing w:val="-6"/>
          <w:sz w:val="32"/>
          <w:szCs w:val="32"/>
        </w:rPr>
        <w:t>时，月度合同内</w:t>
      </w:r>
      <w:r>
        <w:rPr>
          <w:rFonts w:hint="eastAsia" w:ascii="Times New Roman" w:hAnsi="Times New Roman" w:eastAsia="仿宋_GB2312" w:cs="Times New Roman"/>
          <w:spacing w:val="-6"/>
          <w:sz w:val="32"/>
          <w:szCs w:val="32"/>
        </w:rPr>
        <w:t>总用电量</w:t>
      </w:r>
      <w:r>
        <w:rPr>
          <w:rFonts w:ascii="Times New Roman" w:hAnsi="Times New Roman" w:eastAsia="仿宋_GB2312" w:cs="Times New Roman"/>
          <w:spacing w:val="-6"/>
          <w:sz w:val="32"/>
          <w:szCs w:val="32"/>
          <w:lang w:bidi="ar"/>
        </w:rPr>
        <w:t>按合同约定价格进行结算，超出部分按</w:t>
      </w:r>
      <w:r>
        <w:rPr>
          <w:rFonts w:hint="eastAsia" w:ascii="Times New Roman" w:hAnsi="Times New Roman" w:eastAsia="仿宋_GB2312" w:cs="Times New Roman"/>
          <w:spacing w:val="0"/>
          <w:kern w:val="2"/>
          <w:sz w:val="32"/>
          <w:szCs w:val="32"/>
          <w:lang w:val="en-US" w:eastAsia="zh-CN" w:bidi="ar"/>
        </w:rPr>
        <w:t>当月最近一次、最短周期集中竞价交易价格</w:t>
      </w:r>
      <w:r>
        <w:rPr>
          <w:rFonts w:ascii="Times New Roman" w:hAnsi="Times New Roman" w:eastAsia="仿宋_GB2312" w:cs="Times New Roman"/>
          <w:spacing w:val="-6"/>
          <w:sz w:val="32"/>
          <w:szCs w:val="32"/>
          <w:lang w:bidi="ar"/>
        </w:rPr>
        <w:t>结算；</w:t>
      </w:r>
      <w:r>
        <w:rPr>
          <w:rFonts w:ascii="Times New Roman" w:hAnsi="Times New Roman" w:eastAsia="仿宋_GB2312" w:cs="Times New Roman"/>
          <w:spacing w:val="-6"/>
          <w:sz w:val="32"/>
          <w:szCs w:val="32"/>
        </w:rPr>
        <w:t>当批发市场用户月度实际</w:t>
      </w:r>
      <w:r>
        <w:rPr>
          <w:rFonts w:hint="eastAsia" w:ascii="Times New Roman" w:hAnsi="Times New Roman" w:eastAsia="仿宋_GB2312" w:cs="Times New Roman"/>
          <w:spacing w:val="-6"/>
          <w:sz w:val="32"/>
          <w:szCs w:val="32"/>
        </w:rPr>
        <w:t>总用电量</w:t>
      </w:r>
      <w:r>
        <w:rPr>
          <w:rFonts w:ascii="Times New Roman" w:hAnsi="Times New Roman" w:eastAsia="仿宋_GB2312" w:cs="Times New Roman"/>
          <w:spacing w:val="-6"/>
          <w:sz w:val="32"/>
          <w:szCs w:val="32"/>
        </w:rPr>
        <w:t>低于月度合同对应</w:t>
      </w:r>
      <w:r>
        <w:rPr>
          <w:rFonts w:hint="eastAsia" w:ascii="Times New Roman" w:hAnsi="Times New Roman" w:eastAsia="仿宋_GB2312" w:cs="Times New Roman"/>
          <w:spacing w:val="-6"/>
          <w:sz w:val="32"/>
          <w:szCs w:val="32"/>
        </w:rPr>
        <w:t>总用电量</w:t>
      </w:r>
      <w:r>
        <w:rPr>
          <w:rFonts w:ascii="Times New Roman" w:hAnsi="Times New Roman" w:eastAsia="仿宋_GB2312" w:cs="Times New Roman"/>
          <w:spacing w:val="-6"/>
          <w:sz w:val="32"/>
          <w:szCs w:val="32"/>
        </w:rPr>
        <w:t>时，月度实际</w:t>
      </w:r>
      <w:r>
        <w:rPr>
          <w:rFonts w:hint="eastAsia" w:ascii="Times New Roman" w:hAnsi="Times New Roman" w:eastAsia="仿宋_GB2312" w:cs="Times New Roman"/>
          <w:spacing w:val="-6"/>
          <w:sz w:val="32"/>
          <w:szCs w:val="32"/>
        </w:rPr>
        <w:t>总用电量</w:t>
      </w:r>
      <w:r>
        <w:rPr>
          <w:rFonts w:ascii="Times New Roman" w:hAnsi="Times New Roman" w:eastAsia="仿宋_GB2312" w:cs="Times New Roman"/>
          <w:spacing w:val="-6"/>
          <w:sz w:val="32"/>
          <w:szCs w:val="32"/>
          <w:lang w:bidi="ar"/>
        </w:rPr>
        <w:t>按交易先后顺序以合同约定价格进行结算</w:t>
      </w:r>
      <w:r>
        <w:rPr>
          <w:rFonts w:ascii="Times New Roman" w:hAnsi="Times New Roman" w:eastAsia="仿宋_GB2312" w:cs="Times New Roman"/>
          <w:spacing w:val="-6"/>
          <w:sz w:val="32"/>
          <w:szCs w:val="32"/>
        </w:rPr>
        <w:t>。</w:t>
      </w:r>
    </w:p>
    <w:p>
      <w:pPr>
        <w:numPr>
          <w:ilvl w:val="0"/>
          <w:numId w:val="4"/>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批发市场用户可以通过月度双边协商交易、月度集中竞价交易、月度挂牌交易、年度合同分月计划调整、合同转让交易等方式，规避电量偏差调整风险；在此基础上，</w:t>
      </w:r>
      <w:r>
        <w:rPr>
          <w:rFonts w:hint="eastAsia" w:ascii="Times New Roman" w:hAnsi="Times New Roman" w:cs="Times New Roman"/>
          <w:spacing w:val="-6"/>
          <w:sz w:val="32"/>
          <w:szCs w:val="32"/>
          <w:lang w:val="en-US" w:eastAsia="zh-CN"/>
        </w:rPr>
        <w:t>月度</w:t>
      </w:r>
      <w:r>
        <w:rPr>
          <w:rFonts w:ascii="Times New Roman" w:hAnsi="Times New Roman" w:eastAsia="仿宋_GB2312" w:cs="Times New Roman"/>
          <w:spacing w:val="-6"/>
          <w:sz w:val="32"/>
          <w:szCs w:val="32"/>
        </w:rPr>
        <w:t>实际用电量与当月合同电量的偏差，纳入交易合同偏差费用。</w:t>
      </w:r>
    </w:p>
    <w:p>
      <w:pPr>
        <w:numPr>
          <w:ilvl w:val="0"/>
          <w:numId w:val="4"/>
        </w:numPr>
        <w:spacing w:line="540" w:lineRule="exact"/>
        <w:ind w:left="0" w:firstLine="628" w:firstLineChars="200"/>
        <w:outlineLvl w:val="2"/>
        <w:rPr>
          <w:rFonts w:ascii="Times New Roman" w:hAnsi="Times New Roman" w:eastAsia="仿宋_GB2312" w:cs="Times New Roman"/>
          <w:spacing w:val="-6"/>
          <w:sz w:val="32"/>
          <w:szCs w:val="32"/>
        </w:rPr>
      </w:pPr>
      <w:bookmarkStart w:id="0" w:name="_Hlk116724082"/>
      <w:r>
        <w:rPr>
          <w:rFonts w:ascii="Times New Roman" w:hAnsi="Times New Roman" w:eastAsia="仿宋_GB2312" w:cs="Times New Roman"/>
          <w:spacing w:val="-6"/>
          <w:sz w:val="32"/>
          <w:szCs w:val="32"/>
        </w:rPr>
        <w:t>（一）当批发市场用户</w:t>
      </w:r>
      <w:r>
        <w:rPr>
          <w:rFonts w:hint="eastAsia" w:ascii="Times New Roman" w:hAnsi="Times New Roman" w:cs="Times New Roman"/>
          <w:spacing w:val="-6"/>
          <w:sz w:val="32"/>
          <w:szCs w:val="32"/>
          <w:lang w:val="en-US" w:eastAsia="zh-CN"/>
        </w:rPr>
        <w:t>月度</w:t>
      </w:r>
      <w:r>
        <w:rPr>
          <w:rFonts w:ascii="Times New Roman" w:hAnsi="Times New Roman" w:eastAsia="仿宋_GB2312" w:cs="Times New Roman"/>
          <w:spacing w:val="-6"/>
          <w:sz w:val="32"/>
          <w:szCs w:val="32"/>
        </w:rPr>
        <w:t>实际用电量超过月度合同电量时，按照偏差比例分别处理如下：</w:t>
      </w:r>
    </w:p>
    <w:p>
      <w:pPr>
        <w:spacing w:line="540" w:lineRule="exact"/>
        <w:ind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1.</w:t>
      </w:r>
      <w:r>
        <w:rPr>
          <w:rFonts w:hint="eastAsia" w:ascii="Times New Roman" w:hAnsi="Times New Roman" w:cs="Times New Roman"/>
          <w:spacing w:val="-6"/>
          <w:sz w:val="32"/>
          <w:szCs w:val="32"/>
          <w:lang w:val="en-US" w:eastAsia="zh-CN"/>
        </w:rPr>
        <w:t>月度</w:t>
      </w:r>
      <w:r>
        <w:rPr>
          <w:rFonts w:ascii="Times New Roman" w:hAnsi="Times New Roman" w:eastAsia="仿宋_GB2312" w:cs="Times New Roman"/>
          <w:spacing w:val="-6"/>
          <w:sz w:val="32"/>
          <w:szCs w:val="32"/>
        </w:rPr>
        <w:t>实际用电量在月度合同电量100%至105%之间时，不进行偏差考核；</w:t>
      </w:r>
    </w:p>
    <w:p>
      <w:pPr>
        <w:spacing w:line="540" w:lineRule="exact"/>
        <w:ind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2.</w:t>
      </w:r>
      <w:r>
        <w:rPr>
          <w:rFonts w:hint="eastAsia" w:ascii="Times New Roman" w:hAnsi="Times New Roman" w:cs="Times New Roman"/>
          <w:spacing w:val="-6"/>
          <w:sz w:val="32"/>
          <w:szCs w:val="32"/>
          <w:lang w:val="en-US" w:eastAsia="zh-CN"/>
        </w:rPr>
        <w:t>月度</w:t>
      </w:r>
      <w:r>
        <w:rPr>
          <w:rFonts w:ascii="Times New Roman" w:hAnsi="Times New Roman" w:eastAsia="仿宋_GB2312" w:cs="Times New Roman"/>
          <w:spacing w:val="-6"/>
          <w:sz w:val="32"/>
          <w:szCs w:val="32"/>
        </w:rPr>
        <w:t>实际用电量在月度合同电量105%至120%之间时，高于105%差值电量部分，按照当期浙江省统调燃煤机组发电基准价的5%收取交易合同偏差费用；</w:t>
      </w:r>
    </w:p>
    <w:p>
      <w:pPr>
        <w:spacing w:line="540" w:lineRule="exact"/>
        <w:ind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3.</w:t>
      </w:r>
      <w:r>
        <w:rPr>
          <w:rFonts w:hint="eastAsia" w:ascii="Times New Roman" w:hAnsi="Times New Roman" w:cs="Times New Roman"/>
          <w:spacing w:val="-6"/>
          <w:sz w:val="32"/>
          <w:szCs w:val="32"/>
          <w:lang w:val="en-US" w:eastAsia="zh-CN"/>
        </w:rPr>
        <w:t>月度</w:t>
      </w:r>
      <w:r>
        <w:rPr>
          <w:rFonts w:ascii="Times New Roman" w:hAnsi="Times New Roman" w:eastAsia="仿宋_GB2312" w:cs="Times New Roman"/>
          <w:spacing w:val="-6"/>
          <w:sz w:val="32"/>
          <w:szCs w:val="32"/>
        </w:rPr>
        <w:t>实际用电量在月度合同电量120%以上时，高于120%差值电量部分，按照当期浙江省统调燃煤机组发电基准价的10%收取交易合同偏差费用，月度合同电量105%与120%之间的差值电量即15%月度合同电量按照浙江省统调燃煤机组发电基准价的5%收取交易合同偏差费用。</w:t>
      </w:r>
    </w:p>
    <w:p>
      <w:pPr>
        <w:spacing w:line="540" w:lineRule="exact"/>
        <w:ind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（二）当批发市场用户</w:t>
      </w:r>
      <w:r>
        <w:rPr>
          <w:rFonts w:hint="eastAsia" w:ascii="Times New Roman" w:hAnsi="Times New Roman" w:cs="Times New Roman"/>
          <w:spacing w:val="-6"/>
          <w:sz w:val="32"/>
          <w:szCs w:val="32"/>
          <w:lang w:val="en-US" w:eastAsia="zh-CN"/>
        </w:rPr>
        <w:t>月度</w:t>
      </w:r>
      <w:r>
        <w:rPr>
          <w:rFonts w:ascii="Times New Roman" w:hAnsi="Times New Roman" w:eastAsia="仿宋_GB2312" w:cs="Times New Roman"/>
          <w:spacing w:val="-6"/>
          <w:sz w:val="32"/>
          <w:szCs w:val="32"/>
        </w:rPr>
        <w:t>实际用电量低于月度合同电量时，按照偏差比例分别处理如下：</w:t>
      </w:r>
    </w:p>
    <w:p>
      <w:pPr>
        <w:spacing w:line="540" w:lineRule="exact"/>
        <w:ind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1.</w:t>
      </w:r>
      <w:r>
        <w:rPr>
          <w:rFonts w:hint="eastAsia" w:ascii="Times New Roman" w:hAnsi="Times New Roman" w:cs="Times New Roman"/>
          <w:spacing w:val="-6"/>
          <w:sz w:val="32"/>
          <w:szCs w:val="32"/>
          <w:lang w:val="en-US" w:eastAsia="zh-CN"/>
        </w:rPr>
        <w:t>月度</w:t>
      </w:r>
      <w:r>
        <w:rPr>
          <w:rFonts w:ascii="Times New Roman" w:hAnsi="Times New Roman" w:eastAsia="仿宋_GB2312" w:cs="Times New Roman"/>
          <w:spacing w:val="-6"/>
          <w:sz w:val="32"/>
          <w:szCs w:val="32"/>
        </w:rPr>
        <w:t>实际用电量在月度合同电量95%至100%之间时，不进行偏差考核；</w:t>
      </w:r>
    </w:p>
    <w:p>
      <w:pPr>
        <w:spacing w:line="540" w:lineRule="exact"/>
        <w:ind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2.</w:t>
      </w:r>
      <w:r>
        <w:rPr>
          <w:rFonts w:hint="eastAsia" w:ascii="Times New Roman" w:hAnsi="Times New Roman" w:cs="Times New Roman"/>
          <w:spacing w:val="-6"/>
          <w:sz w:val="32"/>
          <w:szCs w:val="32"/>
          <w:lang w:val="en-US" w:eastAsia="zh-CN"/>
        </w:rPr>
        <w:t>月度</w:t>
      </w:r>
      <w:r>
        <w:rPr>
          <w:rFonts w:ascii="Times New Roman" w:hAnsi="Times New Roman" w:eastAsia="仿宋_GB2312" w:cs="Times New Roman"/>
          <w:spacing w:val="-6"/>
          <w:sz w:val="32"/>
          <w:szCs w:val="32"/>
        </w:rPr>
        <w:t>实际用电量在月度合同电量80%至95%之间时，低于95%差值电量部分，按照当期浙江省统调燃煤机组发电基准价的5%收取交易合同偏差费用；</w:t>
      </w:r>
    </w:p>
    <w:p>
      <w:pPr>
        <w:spacing w:line="540" w:lineRule="exact"/>
        <w:ind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3.</w:t>
      </w:r>
      <w:r>
        <w:rPr>
          <w:rFonts w:hint="eastAsia" w:ascii="Times New Roman" w:hAnsi="Times New Roman" w:cs="Times New Roman"/>
          <w:spacing w:val="-6"/>
          <w:sz w:val="32"/>
          <w:szCs w:val="32"/>
          <w:lang w:val="en-US" w:eastAsia="zh-CN"/>
        </w:rPr>
        <w:t>月度</w:t>
      </w:r>
      <w:r>
        <w:rPr>
          <w:rFonts w:ascii="Times New Roman" w:hAnsi="Times New Roman" w:eastAsia="仿宋_GB2312" w:cs="Times New Roman"/>
          <w:spacing w:val="-6"/>
          <w:sz w:val="32"/>
          <w:szCs w:val="32"/>
        </w:rPr>
        <w:t>实际用电量在月度合同电量80%以下时，低于80%差值电量部分，按照当期浙江省统调燃煤机组发电基准价的10%收取交易合同偏差费用，月度合同电量80%与95%之间的差值电量即15%月度合同电量按照浙江省统调燃煤机组发电基准价的5%收取交易合同偏差费用。</w:t>
      </w:r>
    </w:p>
    <w:bookmarkEnd w:id="0"/>
    <w:p>
      <w:pPr>
        <w:numPr>
          <w:ilvl w:val="0"/>
          <w:numId w:val="4"/>
        </w:numPr>
        <w:spacing w:line="540" w:lineRule="exact"/>
        <w:ind w:left="0" w:firstLine="628" w:firstLineChars="200"/>
        <w:jc w:val="left"/>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零售用户电量电费和交易合同偏差费用由电网企业根据电力交易平台推送的零售合同信息进行结算。</w:t>
      </w:r>
    </w:p>
    <w:p>
      <w:pPr>
        <w:numPr>
          <w:ilvl w:val="0"/>
          <w:numId w:val="21"/>
        </w:numPr>
        <w:spacing w:line="540" w:lineRule="exact"/>
        <w:ind w:left="5" w:hanging="5"/>
        <w:jc w:val="center"/>
        <w:outlineLvl w:val="2"/>
        <w:rPr>
          <w:rFonts w:ascii="Times New Roman" w:hAnsi="Times New Roman" w:eastAsia="仿宋_GB2312" w:cs="Times New Roman"/>
          <w:b/>
          <w:spacing w:val="-6"/>
          <w:sz w:val="32"/>
          <w:szCs w:val="32"/>
        </w:rPr>
      </w:pPr>
      <w:r>
        <w:rPr>
          <w:rFonts w:ascii="Times New Roman" w:hAnsi="Times New Roman" w:eastAsia="仿宋_GB2312" w:cs="Times New Roman"/>
          <w:b/>
          <w:spacing w:val="-6"/>
          <w:sz w:val="32"/>
          <w:szCs w:val="32"/>
        </w:rPr>
        <w:t>售电公司的结算</w:t>
      </w:r>
    </w:p>
    <w:p>
      <w:pPr>
        <w:keepNext w:val="0"/>
        <w:keepLines w:val="0"/>
        <w:widowControl w:val="0"/>
        <w:numPr>
          <w:ilvl w:val="0"/>
          <w:numId w:val="4"/>
        </w:numPr>
        <w:suppressLineNumbers w:val="0"/>
        <w:spacing w:before="0" w:beforeAutospacing="0" w:after="0" w:afterAutospacing="0" w:line="540" w:lineRule="exact"/>
        <w:ind w:left="0" w:right="0" w:firstLine="628" w:firstLineChars="200"/>
        <w:jc w:val="both"/>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当售电公司月度实际</w:t>
      </w:r>
      <w:r>
        <w:rPr>
          <w:rFonts w:hint="eastAsia" w:ascii="Times New Roman" w:hAnsi="Times New Roman" w:eastAsia="仿宋_GB2312" w:cs="Times New Roman"/>
          <w:spacing w:val="-6"/>
          <w:sz w:val="32"/>
          <w:szCs w:val="32"/>
        </w:rPr>
        <w:t>总用电量</w:t>
      </w:r>
      <w:r>
        <w:rPr>
          <w:rFonts w:ascii="Times New Roman" w:hAnsi="Times New Roman" w:eastAsia="仿宋_GB2312" w:cs="Times New Roman"/>
          <w:spacing w:val="-6"/>
          <w:sz w:val="32"/>
          <w:szCs w:val="32"/>
        </w:rPr>
        <w:t>超过月度合同对应</w:t>
      </w:r>
      <w:r>
        <w:rPr>
          <w:rFonts w:hint="eastAsia" w:ascii="Times New Roman" w:hAnsi="Times New Roman" w:eastAsia="仿宋_GB2312" w:cs="Times New Roman"/>
          <w:spacing w:val="-6"/>
          <w:sz w:val="32"/>
          <w:szCs w:val="32"/>
        </w:rPr>
        <w:t>总用电量</w:t>
      </w:r>
      <w:r>
        <w:rPr>
          <w:rFonts w:ascii="Times New Roman" w:hAnsi="Times New Roman" w:eastAsia="仿宋_GB2312" w:cs="Times New Roman"/>
          <w:spacing w:val="-6"/>
          <w:sz w:val="32"/>
          <w:szCs w:val="32"/>
        </w:rPr>
        <w:t>时，月度合同内</w:t>
      </w:r>
      <w:r>
        <w:rPr>
          <w:rFonts w:hint="eastAsia" w:ascii="Times New Roman" w:hAnsi="Times New Roman" w:eastAsia="仿宋_GB2312" w:cs="Times New Roman"/>
          <w:spacing w:val="-6"/>
          <w:sz w:val="32"/>
          <w:szCs w:val="32"/>
        </w:rPr>
        <w:t>总用电量</w:t>
      </w:r>
      <w:r>
        <w:rPr>
          <w:rFonts w:ascii="Times New Roman" w:hAnsi="Times New Roman" w:eastAsia="仿宋_GB2312" w:cs="Times New Roman"/>
          <w:spacing w:val="-6"/>
          <w:sz w:val="32"/>
          <w:szCs w:val="32"/>
          <w:lang w:bidi="ar"/>
        </w:rPr>
        <w:t>按合同约定价格进行结算，超出部分按</w:t>
      </w:r>
      <w:r>
        <w:rPr>
          <w:rFonts w:hint="eastAsia" w:ascii="Times New Roman" w:hAnsi="Times New Roman" w:eastAsia="仿宋_GB2312" w:cs="Times New Roman"/>
          <w:spacing w:val="0"/>
          <w:kern w:val="2"/>
          <w:sz w:val="32"/>
          <w:szCs w:val="32"/>
          <w:lang w:val="en-US" w:eastAsia="zh-CN" w:bidi="ar"/>
        </w:rPr>
        <w:t>当月最近一次、最短周期集中竞价交易价格</w:t>
      </w:r>
      <w:r>
        <w:rPr>
          <w:rFonts w:ascii="Times New Roman" w:hAnsi="Times New Roman" w:eastAsia="仿宋_GB2312" w:cs="Times New Roman"/>
          <w:spacing w:val="-6"/>
          <w:sz w:val="32"/>
          <w:szCs w:val="32"/>
          <w:lang w:bidi="ar"/>
        </w:rPr>
        <w:t>结算；</w:t>
      </w:r>
      <w:r>
        <w:rPr>
          <w:rFonts w:ascii="Times New Roman" w:hAnsi="Times New Roman" w:eastAsia="仿宋_GB2312" w:cs="Times New Roman"/>
          <w:spacing w:val="-6"/>
          <w:sz w:val="32"/>
          <w:szCs w:val="32"/>
        </w:rPr>
        <w:t>当售电公司月度实际</w:t>
      </w:r>
      <w:r>
        <w:rPr>
          <w:rFonts w:hint="eastAsia" w:ascii="Times New Roman" w:hAnsi="Times New Roman" w:eastAsia="仿宋_GB2312" w:cs="Times New Roman"/>
          <w:spacing w:val="-6"/>
          <w:sz w:val="32"/>
          <w:szCs w:val="32"/>
        </w:rPr>
        <w:t>总用电量</w:t>
      </w:r>
      <w:r>
        <w:rPr>
          <w:rFonts w:ascii="Times New Roman" w:hAnsi="Times New Roman" w:eastAsia="仿宋_GB2312" w:cs="Times New Roman"/>
          <w:spacing w:val="-6"/>
          <w:sz w:val="32"/>
          <w:szCs w:val="32"/>
        </w:rPr>
        <w:t>低于月度合同对应</w:t>
      </w:r>
      <w:r>
        <w:rPr>
          <w:rFonts w:hint="eastAsia" w:ascii="Times New Roman" w:hAnsi="Times New Roman" w:eastAsia="仿宋_GB2312" w:cs="Times New Roman"/>
          <w:spacing w:val="-6"/>
          <w:sz w:val="32"/>
          <w:szCs w:val="32"/>
        </w:rPr>
        <w:t>总用电量</w:t>
      </w:r>
      <w:r>
        <w:rPr>
          <w:rFonts w:ascii="Times New Roman" w:hAnsi="Times New Roman" w:eastAsia="仿宋_GB2312" w:cs="Times New Roman"/>
          <w:spacing w:val="-6"/>
          <w:sz w:val="32"/>
          <w:szCs w:val="32"/>
        </w:rPr>
        <w:t>时，月度实际</w:t>
      </w:r>
      <w:r>
        <w:rPr>
          <w:rFonts w:hint="eastAsia" w:ascii="Times New Roman" w:hAnsi="Times New Roman" w:eastAsia="仿宋_GB2312" w:cs="Times New Roman"/>
          <w:spacing w:val="-6"/>
          <w:sz w:val="32"/>
          <w:szCs w:val="32"/>
        </w:rPr>
        <w:t>总用电量</w:t>
      </w:r>
      <w:r>
        <w:rPr>
          <w:rFonts w:ascii="Times New Roman" w:hAnsi="Times New Roman" w:eastAsia="仿宋_GB2312" w:cs="Times New Roman"/>
          <w:spacing w:val="-6"/>
          <w:sz w:val="32"/>
          <w:szCs w:val="32"/>
          <w:lang w:bidi="ar"/>
        </w:rPr>
        <w:t>按交易先后顺序以合同约定价格进行结算</w:t>
      </w:r>
      <w:r>
        <w:rPr>
          <w:rFonts w:ascii="Times New Roman" w:hAnsi="Times New Roman" w:eastAsia="仿宋_GB2312" w:cs="Times New Roman"/>
          <w:spacing w:val="-6"/>
          <w:sz w:val="32"/>
          <w:szCs w:val="32"/>
        </w:rPr>
        <w:t>。</w:t>
      </w:r>
    </w:p>
    <w:p>
      <w:pPr>
        <w:numPr>
          <w:ilvl w:val="0"/>
          <w:numId w:val="4"/>
        </w:numPr>
        <w:spacing w:line="540" w:lineRule="exact"/>
        <w:ind w:left="0" w:firstLine="628" w:firstLineChars="200"/>
        <w:jc w:val="left"/>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售电公司可以通过月度双边协商交易、月度集中竞价交易、月度挂牌交易、年度合同分月计划调整等方式，规避电量偏差调整风险；在此基础上，</w:t>
      </w:r>
      <w:r>
        <w:rPr>
          <w:rFonts w:hint="eastAsia" w:ascii="Times New Roman" w:hAnsi="Times New Roman" w:cs="Times New Roman"/>
          <w:spacing w:val="-6"/>
          <w:sz w:val="32"/>
          <w:szCs w:val="32"/>
          <w:lang w:val="en-US" w:eastAsia="zh-CN"/>
        </w:rPr>
        <w:t>月度</w:t>
      </w:r>
      <w:r>
        <w:rPr>
          <w:rFonts w:ascii="Times New Roman" w:hAnsi="Times New Roman" w:eastAsia="仿宋_GB2312" w:cs="Times New Roman"/>
          <w:spacing w:val="-6"/>
          <w:sz w:val="32"/>
          <w:szCs w:val="32"/>
        </w:rPr>
        <w:t>实际用电量与当月合同电量的偏差，纳入交易合同偏差费用。</w:t>
      </w:r>
    </w:p>
    <w:p>
      <w:pPr>
        <w:numPr>
          <w:ilvl w:val="0"/>
          <w:numId w:val="4"/>
        </w:numPr>
        <w:spacing w:line="540" w:lineRule="exact"/>
        <w:ind w:left="0" w:firstLine="628" w:firstLineChars="200"/>
        <w:jc w:val="left"/>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（一）当售电公司</w:t>
      </w:r>
      <w:r>
        <w:rPr>
          <w:rFonts w:hint="eastAsia" w:ascii="Times New Roman" w:hAnsi="Times New Roman" w:cs="Times New Roman"/>
          <w:spacing w:val="-6"/>
          <w:sz w:val="32"/>
          <w:szCs w:val="32"/>
          <w:lang w:val="en-US" w:eastAsia="zh-CN"/>
        </w:rPr>
        <w:t>月度</w:t>
      </w:r>
      <w:r>
        <w:rPr>
          <w:rFonts w:ascii="Times New Roman" w:hAnsi="Times New Roman" w:eastAsia="仿宋_GB2312" w:cs="Times New Roman"/>
          <w:spacing w:val="-6"/>
          <w:sz w:val="32"/>
          <w:szCs w:val="32"/>
        </w:rPr>
        <w:t>实际用电量超过月度合同电量时，按照偏差比例分别处理如下：</w:t>
      </w:r>
    </w:p>
    <w:p>
      <w:pPr>
        <w:spacing w:line="540" w:lineRule="exact"/>
        <w:ind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1.</w:t>
      </w:r>
      <w:r>
        <w:rPr>
          <w:rFonts w:hint="eastAsia" w:ascii="Times New Roman" w:hAnsi="Times New Roman" w:cs="Times New Roman"/>
          <w:spacing w:val="-6"/>
          <w:sz w:val="32"/>
          <w:szCs w:val="32"/>
          <w:lang w:val="en-US" w:eastAsia="zh-CN"/>
        </w:rPr>
        <w:t>月度</w:t>
      </w:r>
      <w:r>
        <w:rPr>
          <w:rFonts w:ascii="Times New Roman" w:hAnsi="Times New Roman" w:eastAsia="仿宋_GB2312" w:cs="Times New Roman"/>
          <w:spacing w:val="-6"/>
          <w:sz w:val="32"/>
          <w:szCs w:val="32"/>
        </w:rPr>
        <w:t>实际用电量在月度合同电量100%至105%之间时，不进行偏差考核；</w:t>
      </w:r>
    </w:p>
    <w:p>
      <w:pPr>
        <w:spacing w:line="540" w:lineRule="exact"/>
        <w:ind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2.</w:t>
      </w:r>
      <w:r>
        <w:rPr>
          <w:rFonts w:hint="eastAsia" w:ascii="Times New Roman" w:hAnsi="Times New Roman" w:cs="Times New Roman"/>
          <w:spacing w:val="-6"/>
          <w:sz w:val="32"/>
          <w:szCs w:val="32"/>
          <w:lang w:val="en-US" w:eastAsia="zh-CN"/>
        </w:rPr>
        <w:t>月度</w:t>
      </w:r>
      <w:r>
        <w:rPr>
          <w:rFonts w:ascii="Times New Roman" w:hAnsi="Times New Roman" w:eastAsia="仿宋_GB2312" w:cs="Times New Roman"/>
          <w:spacing w:val="-6"/>
          <w:sz w:val="32"/>
          <w:szCs w:val="32"/>
        </w:rPr>
        <w:t>实际用电量在月度合同电量105%至120%之间时，高于105%差值电量部分，按照当期浙江省统调燃煤机组发电基准价的5%收取交易合同偏差费用；</w:t>
      </w:r>
    </w:p>
    <w:p>
      <w:pPr>
        <w:spacing w:line="540" w:lineRule="exact"/>
        <w:ind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3.</w:t>
      </w:r>
      <w:r>
        <w:rPr>
          <w:rFonts w:hint="eastAsia" w:ascii="Times New Roman" w:hAnsi="Times New Roman" w:cs="Times New Roman"/>
          <w:spacing w:val="-6"/>
          <w:sz w:val="32"/>
          <w:szCs w:val="32"/>
          <w:lang w:val="en-US" w:eastAsia="zh-CN"/>
        </w:rPr>
        <w:t>月度</w:t>
      </w:r>
      <w:r>
        <w:rPr>
          <w:rFonts w:ascii="Times New Roman" w:hAnsi="Times New Roman" w:eastAsia="仿宋_GB2312" w:cs="Times New Roman"/>
          <w:spacing w:val="-6"/>
          <w:sz w:val="32"/>
          <w:szCs w:val="32"/>
        </w:rPr>
        <w:t>实际用电量在月度合同电量120%以上时，高于120%差值电量部分，按照当期浙江省统调燃煤机组发电基准价的10%收取交易合同偏差费用，月度合同电量105%与120%之间的差值电量即15%月度合同电量按照浙江省统调燃煤机组发电基准价的5%收取交易合同偏差费用。</w:t>
      </w:r>
    </w:p>
    <w:p>
      <w:pPr>
        <w:spacing w:line="540" w:lineRule="exact"/>
        <w:ind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（二）当售电公司</w:t>
      </w:r>
      <w:r>
        <w:rPr>
          <w:rFonts w:hint="eastAsia" w:ascii="Times New Roman" w:hAnsi="Times New Roman" w:cs="Times New Roman"/>
          <w:spacing w:val="-6"/>
          <w:sz w:val="32"/>
          <w:szCs w:val="32"/>
          <w:lang w:val="en-US" w:eastAsia="zh-CN"/>
        </w:rPr>
        <w:t>月度</w:t>
      </w:r>
      <w:r>
        <w:rPr>
          <w:rFonts w:ascii="Times New Roman" w:hAnsi="Times New Roman" w:eastAsia="仿宋_GB2312" w:cs="Times New Roman"/>
          <w:spacing w:val="-6"/>
          <w:sz w:val="32"/>
          <w:szCs w:val="32"/>
        </w:rPr>
        <w:t>实际用电量低于月度合同电量时，按照偏差比例分别处理如下：</w:t>
      </w:r>
    </w:p>
    <w:p>
      <w:pPr>
        <w:spacing w:line="540" w:lineRule="exact"/>
        <w:ind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1.</w:t>
      </w:r>
      <w:r>
        <w:rPr>
          <w:rFonts w:hint="eastAsia" w:ascii="Times New Roman" w:hAnsi="Times New Roman" w:cs="Times New Roman"/>
          <w:spacing w:val="-6"/>
          <w:sz w:val="32"/>
          <w:szCs w:val="32"/>
          <w:lang w:val="en-US" w:eastAsia="zh-CN"/>
        </w:rPr>
        <w:t>月度</w:t>
      </w:r>
      <w:r>
        <w:rPr>
          <w:rFonts w:ascii="Times New Roman" w:hAnsi="Times New Roman" w:eastAsia="仿宋_GB2312" w:cs="Times New Roman"/>
          <w:spacing w:val="-6"/>
          <w:sz w:val="32"/>
          <w:szCs w:val="32"/>
        </w:rPr>
        <w:t>实际用电量在月度合同电量95%至100%之间时，不进行偏差考核；</w:t>
      </w:r>
    </w:p>
    <w:p>
      <w:pPr>
        <w:spacing w:line="540" w:lineRule="exact"/>
        <w:ind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2.</w:t>
      </w:r>
      <w:r>
        <w:rPr>
          <w:rFonts w:hint="eastAsia" w:ascii="Times New Roman" w:hAnsi="Times New Roman" w:cs="Times New Roman"/>
          <w:spacing w:val="-6"/>
          <w:sz w:val="32"/>
          <w:szCs w:val="32"/>
          <w:lang w:val="en-US" w:eastAsia="zh-CN"/>
        </w:rPr>
        <w:t>月度</w:t>
      </w:r>
      <w:r>
        <w:rPr>
          <w:rFonts w:ascii="Times New Roman" w:hAnsi="Times New Roman" w:eastAsia="仿宋_GB2312" w:cs="Times New Roman"/>
          <w:spacing w:val="-6"/>
          <w:sz w:val="32"/>
          <w:szCs w:val="32"/>
        </w:rPr>
        <w:t>实际用电量在月度合同电量80%至95%之间时，低于95%差值电量部分，按照当期浙江省统调燃煤机组发电基准价的5%收取交易合同偏差费用；</w:t>
      </w:r>
    </w:p>
    <w:p>
      <w:pPr>
        <w:spacing w:line="540" w:lineRule="exact"/>
        <w:ind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3.</w:t>
      </w:r>
      <w:r>
        <w:rPr>
          <w:rFonts w:hint="eastAsia" w:ascii="Times New Roman" w:hAnsi="Times New Roman" w:cs="Times New Roman"/>
          <w:spacing w:val="-6"/>
          <w:sz w:val="32"/>
          <w:szCs w:val="32"/>
          <w:lang w:val="en-US" w:eastAsia="zh-CN"/>
        </w:rPr>
        <w:t>月度</w:t>
      </w:r>
      <w:r>
        <w:rPr>
          <w:rFonts w:ascii="Times New Roman" w:hAnsi="Times New Roman" w:eastAsia="仿宋_GB2312" w:cs="Times New Roman"/>
          <w:spacing w:val="-6"/>
          <w:sz w:val="32"/>
          <w:szCs w:val="32"/>
        </w:rPr>
        <w:t>实际用电量在月度合同电量80%以下时，低于80%差值电量部分，按照当期浙江省统调燃煤机组发电基准价的10%收取交易合同偏差费用，月度合同电量80%与95%之间的差值电量即15%月度合同电量按照浙江省统调燃煤机组发电基准价的5%收取交易合同偏差费用。</w:t>
      </w:r>
    </w:p>
    <w:p>
      <w:pPr>
        <w:spacing w:line="540" w:lineRule="exact"/>
        <w:ind w:firstLine="628" w:firstLineChars="200"/>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（三）售电公司与其代理的电力用户的交易合同偏差费用，由电网企业根据电力交易平台推送的零售合同信息进行结算。</w:t>
      </w:r>
    </w:p>
    <w:p>
      <w:pPr>
        <w:numPr>
          <w:ilvl w:val="0"/>
          <w:numId w:val="4"/>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 xml:space="preserve">  经营配电网业务的售电公司与电网企业之间的结算，在前文结算的基础上，按照价格主管部门相关规定，向电网企业支付输配电费用。经营配电网业务的售电公司与电网企业的结算，执行《关于制定地方电网和增量配电网配电价格的指导意见》(发改价格规〔2017〕2269号)。</w:t>
      </w:r>
    </w:p>
    <w:p>
      <w:pPr>
        <w:numPr>
          <w:ilvl w:val="0"/>
          <w:numId w:val="4"/>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 xml:space="preserve">  交易机构根据市场运营情况，建立市场信用管理机制。现阶段，信用管理对象为参与电力中长期交易的售电公司。电力中长期交易保证要求和形式由电力交易机构制定实施细则。</w:t>
      </w:r>
    </w:p>
    <w:p>
      <w:pPr>
        <w:numPr>
          <w:ilvl w:val="0"/>
          <w:numId w:val="21"/>
        </w:numPr>
        <w:spacing w:line="540" w:lineRule="exact"/>
        <w:ind w:left="1125" w:hanging="1125"/>
        <w:jc w:val="center"/>
        <w:outlineLvl w:val="1"/>
        <w:rPr>
          <w:rFonts w:ascii="Times New Roman" w:hAnsi="Times New Roman" w:eastAsia="仿宋_GB2312" w:cs="Times New Roman"/>
          <w:b/>
          <w:spacing w:val="-6"/>
          <w:sz w:val="32"/>
          <w:szCs w:val="32"/>
        </w:rPr>
      </w:pPr>
      <w:r>
        <w:rPr>
          <w:rFonts w:ascii="Times New Roman" w:hAnsi="Times New Roman" w:eastAsia="仿宋_GB2312" w:cs="Times New Roman"/>
          <w:b/>
          <w:spacing w:val="-6"/>
          <w:sz w:val="32"/>
          <w:szCs w:val="32"/>
        </w:rPr>
        <w:t>电网企业代理购电用户的结算</w:t>
      </w:r>
    </w:p>
    <w:p>
      <w:pPr>
        <w:numPr>
          <w:ilvl w:val="0"/>
          <w:numId w:val="4"/>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 xml:space="preserve">  </w:t>
      </w:r>
      <w:commentRangeStart w:id="7"/>
      <w:r>
        <w:rPr>
          <w:rFonts w:ascii="Times New Roman" w:hAnsi="Times New Roman" w:eastAsia="仿宋_GB2312" w:cs="Times New Roman"/>
          <w:spacing w:val="-6"/>
          <w:sz w:val="32"/>
          <w:szCs w:val="32"/>
        </w:rPr>
        <w:t>代理购电用户电</w:t>
      </w:r>
      <w:r>
        <w:rPr>
          <w:rFonts w:hint="default" w:ascii="Times New Roman" w:hAnsi="Times New Roman" w:eastAsia="仿宋_GB2312" w:cs="Times New Roman"/>
          <w:spacing w:val="-6"/>
          <w:sz w:val="32"/>
          <w:szCs w:val="32"/>
          <w:lang w:val="en-US"/>
        </w:rPr>
        <w:t>费</w:t>
      </w:r>
      <w:r>
        <w:rPr>
          <w:rFonts w:ascii="Times New Roman" w:hAnsi="Times New Roman" w:eastAsia="仿宋_GB2312" w:cs="Times New Roman"/>
          <w:spacing w:val="-6"/>
          <w:sz w:val="32"/>
          <w:szCs w:val="32"/>
        </w:rPr>
        <w:t>由</w:t>
      </w:r>
      <w:r>
        <w:rPr>
          <w:rFonts w:hint="eastAsia" w:ascii="Times New Roman" w:hAnsi="Times New Roman" w:cs="Times New Roman"/>
          <w:spacing w:val="-6"/>
          <w:sz w:val="32"/>
          <w:szCs w:val="32"/>
          <w:lang w:val="en-US" w:eastAsia="zh-CN"/>
        </w:rPr>
        <w:t>上网电费</w:t>
      </w:r>
      <w:r>
        <w:rPr>
          <w:rFonts w:ascii="Times New Roman" w:hAnsi="Times New Roman" w:eastAsia="仿宋_GB2312" w:cs="Times New Roman"/>
          <w:spacing w:val="-6"/>
          <w:sz w:val="32"/>
          <w:szCs w:val="32"/>
        </w:rPr>
        <w:t>、</w:t>
      </w:r>
      <w:r>
        <w:rPr>
          <w:rFonts w:hint="eastAsia" w:ascii="Times New Roman" w:hAnsi="Times New Roman" w:cs="Times New Roman"/>
          <w:spacing w:val="-6"/>
          <w:sz w:val="32"/>
          <w:szCs w:val="32"/>
          <w:lang w:val="en-US" w:eastAsia="zh-CN"/>
        </w:rPr>
        <w:t>上网环节线损费用、</w:t>
      </w:r>
      <w:r>
        <w:rPr>
          <w:rFonts w:ascii="Times New Roman" w:hAnsi="Times New Roman" w:eastAsia="仿宋_GB2312" w:cs="Times New Roman"/>
          <w:spacing w:val="-6"/>
          <w:sz w:val="32"/>
          <w:szCs w:val="32"/>
        </w:rPr>
        <w:t>输配电</w:t>
      </w:r>
      <w:r>
        <w:rPr>
          <w:rFonts w:hint="default" w:ascii="Times New Roman" w:hAnsi="Times New Roman" w:eastAsia="仿宋_GB2312" w:cs="Times New Roman"/>
          <w:spacing w:val="-6"/>
          <w:sz w:val="32"/>
          <w:szCs w:val="32"/>
          <w:lang w:val="en-US"/>
        </w:rPr>
        <w:t>费</w:t>
      </w:r>
      <w:r>
        <w:rPr>
          <w:rFonts w:ascii="Times New Roman" w:hAnsi="Times New Roman" w:eastAsia="仿宋_GB2312" w:cs="Times New Roman"/>
          <w:spacing w:val="-6"/>
          <w:sz w:val="32"/>
          <w:szCs w:val="32"/>
        </w:rPr>
        <w:t>、</w:t>
      </w:r>
      <w:r>
        <w:rPr>
          <w:rFonts w:hint="eastAsia" w:ascii="Times New Roman" w:hAnsi="Times New Roman" w:cs="Times New Roman"/>
          <w:spacing w:val="-6"/>
          <w:sz w:val="32"/>
          <w:szCs w:val="32"/>
          <w:lang w:val="en-US" w:eastAsia="zh-CN"/>
        </w:rPr>
        <w:t>系统运行费用、</w:t>
      </w:r>
      <w:r>
        <w:rPr>
          <w:rFonts w:ascii="Times New Roman" w:hAnsi="Times New Roman" w:eastAsia="仿宋_GB2312" w:cs="Times New Roman"/>
          <w:spacing w:val="-6"/>
          <w:sz w:val="32"/>
          <w:szCs w:val="32"/>
        </w:rPr>
        <w:t>政府性基金及附加组成。</w:t>
      </w:r>
      <w:commentRangeEnd w:id="7"/>
      <w:r>
        <w:commentReference w:id="7"/>
      </w:r>
    </w:p>
    <w:p>
      <w:pPr>
        <w:numPr>
          <w:ilvl w:val="0"/>
          <w:numId w:val="4"/>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 xml:space="preserve">  当月代理购电交易电费由电网企业预测代理购电价格、当月实际用电量确定。</w:t>
      </w:r>
    </w:p>
    <w:p>
      <w:pPr>
        <w:numPr>
          <w:ilvl w:val="0"/>
          <w:numId w:val="4"/>
        </w:numPr>
        <w:spacing w:line="540" w:lineRule="exact"/>
        <w:ind w:left="0" w:firstLine="628" w:firstLineChars="200"/>
        <w:outlineLvl w:val="2"/>
        <w:rPr>
          <w:rFonts w:ascii="Times New Roman" w:hAnsi="Times New Roman" w:eastAsia="仿宋_GB2312" w:cs="Times New Roman"/>
          <w:spacing w:val="-6"/>
          <w:sz w:val="32"/>
          <w:szCs w:val="32"/>
        </w:rPr>
      </w:pPr>
      <w:r>
        <w:commentReference w:id="8"/>
      </w:r>
      <w:r>
        <w:rPr>
          <w:rFonts w:ascii="Times New Roman" w:hAnsi="Times New Roman" w:eastAsia="仿宋_GB2312" w:cs="Times New Roman"/>
          <w:spacing w:val="-6"/>
          <w:sz w:val="32"/>
          <w:szCs w:val="32"/>
        </w:rPr>
        <w:t xml:space="preserve">    电网企业代理购电用户结算电费，每月按实际用电量及代理购电用户电价结算。</w:t>
      </w:r>
    </w:p>
    <w:p>
      <w:pPr>
        <w:numPr>
          <w:ilvl w:val="0"/>
          <w:numId w:val="21"/>
        </w:numPr>
        <w:spacing w:line="540" w:lineRule="exact"/>
        <w:ind w:left="5" w:hanging="5"/>
        <w:jc w:val="center"/>
        <w:outlineLvl w:val="1"/>
        <w:rPr>
          <w:rFonts w:ascii="Times New Roman" w:hAnsi="Times New Roman" w:eastAsia="仿宋_GB2312" w:cs="Times New Roman"/>
          <w:b/>
          <w:spacing w:val="-6"/>
          <w:sz w:val="32"/>
          <w:szCs w:val="32"/>
        </w:rPr>
      </w:pPr>
      <w:r>
        <w:rPr>
          <w:rFonts w:ascii="Times New Roman" w:hAnsi="Times New Roman" w:eastAsia="仿宋_GB2312" w:cs="Times New Roman"/>
          <w:b/>
          <w:spacing w:val="-6"/>
          <w:sz w:val="32"/>
          <w:szCs w:val="32"/>
        </w:rPr>
        <w:t>发电企业的结算</w:t>
      </w:r>
    </w:p>
    <w:p>
      <w:pPr>
        <w:keepNext w:val="0"/>
        <w:keepLines w:val="0"/>
        <w:widowControl w:val="0"/>
        <w:numPr>
          <w:ilvl w:val="0"/>
          <w:numId w:val="4"/>
        </w:numPr>
        <w:suppressLineNumbers w:val="0"/>
        <w:spacing w:before="0" w:beforeAutospacing="0" w:after="0" w:afterAutospacing="0" w:line="540" w:lineRule="exact"/>
        <w:ind w:left="0" w:right="0" w:firstLine="652" w:firstLineChars="200"/>
        <w:jc w:val="both"/>
        <w:outlineLvl w:val="2"/>
        <w:rPr>
          <w:rFonts w:ascii="Times New Roman" w:hAnsi="Times New Roman" w:eastAsia="仿宋_GB2312" w:cs="Times New Roman"/>
          <w:spacing w:val="-6"/>
          <w:sz w:val="32"/>
          <w:szCs w:val="32"/>
        </w:rPr>
      </w:pPr>
      <w:r>
        <w:rPr>
          <w:rFonts w:hint="eastAsia" w:ascii="Times New Roman" w:hAnsi="Times New Roman" w:eastAsia="仿宋_GB2312" w:cs="Times New Roman"/>
          <w:spacing w:val="0"/>
          <w:kern w:val="2"/>
          <w:sz w:val="32"/>
          <w:szCs w:val="32"/>
          <w:lang w:val="en-US" w:eastAsia="zh-CN" w:bidi="ar"/>
        </w:rPr>
        <w:t>当发电企业月度实际总上网电量超过月度合同总电量时，月度合同电量按合同约定价格进行结算，超出部分按</w:t>
      </w:r>
      <w:r>
        <w:rPr>
          <w:rFonts w:hint="eastAsia" w:ascii="Times New Roman" w:hAnsi="Times New Roman" w:cs="Times New Roman"/>
          <w:spacing w:val="0"/>
          <w:kern w:val="2"/>
          <w:sz w:val="32"/>
          <w:szCs w:val="32"/>
          <w:lang w:val="en-US" w:eastAsia="zh-CN" w:bidi="ar"/>
        </w:rPr>
        <w:t>市场内同类别机组交易最低价</w:t>
      </w:r>
      <w:r>
        <w:rPr>
          <w:rFonts w:hint="eastAsia" w:ascii="Times New Roman" w:hAnsi="Times New Roman" w:eastAsia="仿宋_GB2312" w:cs="Times New Roman"/>
          <w:spacing w:val="0"/>
          <w:kern w:val="2"/>
          <w:sz w:val="32"/>
          <w:szCs w:val="32"/>
          <w:lang w:val="en-US" w:eastAsia="zh-CN" w:bidi="ar"/>
        </w:rPr>
        <w:t>结算；当发电企业月度实际总上网电量低于月度合同总电量时，月度实际总上网电量按交易先后顺序以合同约定价格进行结算。</w:t>
      </w:r>
    </w:p>
    <w:p>
      <w:pPr>
        <w:numPr>
          <w:ilvl w:val="0"/>
          <w:numId w:val="4"/>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燃煤发电企业与单一市场主体成交的单笔交易价格不得超过燃煤基准价上下浮动20%。当燃煤发电企业月度结算均价超过燃煤基准价上浮20%时，按燃煤基准价上浮20%进行结算。</w:t>
      </w:r>
    </w:p>
    <w:p>
      <w:pPr>
        <w:numPr>
          <w:ilvl w:val="0"/>
          <w:numId w:val="4"/>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lang w:bidi="ar"/>
        </w:rPr>
        <w:t>发电企业因自身原因，造成其月度可结上网总电量小于其电力中长期交易所有合同当月电量之和时，差额部分按当月集中竞价交易价格与该主体剩余合同电量的加权平均价格之差的绝对值，支付交易合同偏差费用。</w:t>
      </w:r>
    </w:p>
    <w:p>
      <w:pPr>
        <w:numPr>
          <w:ilvl w:val="0"/>
          <w:numId w:val="21"/>
        </w:numPr>
        <w:spacing w:line="540" w:lineRule="exact"/>
        <w:ind w:left="1125" w:hanging="1125"/>
        <w:jc w:val="center"/>
        <w:outlineLvl w:val="1"/>
        <w:rPr>
          <w:rFonts w:ascii="Times New Roman" w:hAnsi="Times New Roman" w:eastAsia="仿宋_GB2312" w:cs="Times New Roman"/>
          <w:b/>
          <w:spacing w:val="-6"/>
          <w:sz w:val="32"/>
          <w:szCs w:val="32"/>
        </w:rPr>
      </w:pPr>
      <w:r>
        <w:rPr>
          <w:rFonts w:ascii="Times New Roman" w:hAnsi="Times New Roman" w:eastAsia="仿宋_GB2312" w:cs="Times New Roman"/>
          <w:b/>
          <w:spacing w:val="-6"/>
          <w:sz w:val="32"/>
          <w:szCs w:val="32"/>
        </w:rPr>
        <w:t>电网企业的结算</w:t>
      </w:r>
    </w:p>
    <w:p>
      <w:pPr>
        <w:numPr>
          <w:ilvl w:val="0"/>
          <w:numId w:val="4"/>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 xml:space="preserve">    批发市场中各市场主体的</w:t>
      </w:r>
      <w:r>
        <w:rPr>
          <w:rFonts w:ascii="Times New Roman" w:hAnsi="Times New Roman" w:eastAsia="仿宋_GB2312" w:cs="Times New Roman"/>
          <w:spacing w:val="-6"/>
          <w:sz w:val="32"/>
          <w:szCs w:val="32"/>
          <w:lang w:eastAsia="zh-Hans"/>
        </w:rPr>
        <w:t>市场化交易电费</w:t>
      </w:r>
      <w:r>
        <w:rPr>
          <w:rFonts w:ascii="Times New Roman" w:hAnsi="Times New Roman" w:eastAsia="仿宋_GB2312" w:cs="Times New Roman"/>
          <w:spacing w:val="-6"/>
          <w:sz w:val="32"/>
          <w:szCs w:val="32"/>
        </w:rPr>
        <w:t>（含交易合同偏差费用）等结算依据由电力交易机构出具，电网企业根据电力交易机构提供的结算依据出具结算账单，与市场主体进行电费结算。</w:t>
      </w:r>
    </w:p>
    <w:p>
      <w:pPr>
        <w:numPr>
          <w:ilvl w:val="0"/>
          <w:numId w:val="4"/>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 xml:space="preserve">    对电力用户、售电公司、发电企业等收取的偏差调整资金由电网企业进行管理，实行收支两条线，专项补偿用于不可抗力因素导致的合同执行偏差费用等事宜。电力交易机构负责拟定合同偏差调整资金管理办法。</w:t>
      </w:r>
    </w:p>
    <w:p>
      <w:pPr>
        <w:numPr>
          <w:ilvl w:val="0"/>
          <w:numId w:val="4"/>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 xml:space="preserve">    电网代理用户结算按照国家和浙江省电网企业代理购电相关规定执行。电网企业代理购电价格、代理购电用户电价应按月测算，并提前3日通过营业厅等线上线下渠道发布，于次月执行，并按用户实际用电量全额结算电费。</w:t>
      </w:r>
    </w:p>
    <w:p>
      <w:pPr>
        <w:numPr>
          <w:ilvl w:val="0"/>
          <w:numId w:val="21"/>
        </w:numPr>
        <w:spacing w:line="540" w:lineRule="exact"/>
        <w:ind w:left="5" w:hanging="5"/>
        <w:jc w:val="center"/>
        <w:outlineLvl w:val="1"/>
        <w:rPr>
          <w:rFonts w:ascii="Times New Roman" w:hAnsi="Times New Roman" w:eastAsia="仿宋_GB2312" w:cs="Times New Roman"/>
          <w:b/>
          <w:spacing w:val="-6"/>
          <w:sz w:val="32"/>
          <w:szCs w:val="32"/>
        </w:rPr>
      </w:pPr>
      <w:r>
        <w:rPr>
          <w:rFonts w:ascii="Times New Roman" w:hAnsi="Times New Roman" w:eastAsia="仿宋_GB2312" w:cs="Times New Roman"/>
          <w:b/>
          <w:spacing w:val="-6"/>
          <w:sz w:val="32"/>
          <w:szCs w:val="32"/>
        </w:rPr>
        <w:t>其他</w:t>
      </w:r>
    </w:p>
    <w:p>
      <w:pPr>
        <w:numPr>
          <w:ilvl w:val="0"/>
          <w:numId w:val="4"/>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 xml:space="preserve">    发电企业因不可抗力欠发，电力中长期相关合同仍参照发电企业欠发情况确定可结算电量，电力用户（含售电公司）因发电企业欠发而超用部分形成的差额费用由偏差调整资金补偿，不收取其他考核分摊费用。电网企业代理用户参与市场交易不进行偏差考核。偏差电量电费按照相关规则进行分摊或返还 。</w:t>
      </w:r>
    </w:p>
    <w:p>
      <w:pPr>
        <w:numPr>
          <w:ilvl w:val="0"/>
          <w:numId w:val="4"/>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 xml:space="preserve">    电力用户（含售电公司）因不可抗力少用，电力中长期交易相关合同仍参照电力用户少用情况确定可结算电量，不进行偏差考核。</w:t>
      </w:r>
    </w:p>
    <w:p>
      <w:pPr>
        <w:numPr>
          <w:ilvl w:val="0"/>
          <w:numId w:val="4"/>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 xml:space="preserve">  市场主体因不可抗力造成偏差，经省发展改革委、省能源局会同浙江能源监管办认定后，在电力交易平台上提交偏差考核豁免申请。    </w:t>
      </w:r>
    </w:p>
    <w:p>
      <w:pPr>
        <w:numPr>
          <w:ilvl w:val="0"/>
          <w:numId w:val="3"/>
        </w:numPr>
        <w:spacing w:line="540" w:lineRule="exact"/>
        <w:ind w:left="15" w:hanging="15"/>
        <w:jc w:val="center"/>
        <w:outlineLvl w:val="0"/>
        <w:rPr>
          <w:rFonts w:ascii="Times New Roman" w:hAnsi="Times New Roman" w:eastAsia="黑体" w:cs="Times New Roman"/>
          <w:spacing w:val="-6"/>
          <w:sz w:val="32"/>
          <w:szCs w:val="32"/>
        </w:rPr>
      </w:pPr>
      <w:r>
        <w:rPr>
          <w:rFonts w:ascii="Times New Roman" w:hAnsi="Times New Roman" w:eastAsia="黑体" w:cs="Times New Roman"/>
          <w:spacing w:val="-6"/>
          <w:sz w:val="32"/>
          <w:szCs w:val="32"/>
        </w:rPr>
        <w:t>信息披露</w:t>
      </w:r>
    </w:p>
    <w:p>
      <w:pPr>
        <w:numPr>
          <w:ilvl w:val="0"/>
          <w:numId w:val="4"/>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 xml:space="preserve">    市场信息分为社会公众信息、市场公开信息和私有信息。社会公众信息是指向社会公众披露的信息，市场公开信息是指向所有市场成员披露的信息，私有信息是指向特定的市场主体披露的信息。</w:t>
      </w:r>
    </w:p>
    <w:p>
      <w:pPr>
        <w:numPr>
          <w:ilvl w:val="0"/>
          <w:numId w:val="4"/>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 xml:space="preserve">    市场成员应当遵循及时、真实、准确、完整的原则，披露电力市场信息。对于违反信息披露有关规定的市场成员，可依法依规纳入失信管理，问题严重的可按照规定取消市场准入资格。电力交易机构、电力调度机构应当公平对待市场主体，无歧视披露公众信息和公开信息，严禁超职责范围获取或泄露私有信息。</w:t>
      </w:r>
    </w:p>
    <w:p>
      <w:pPr>
        <w:numPr>
          <w:ilvl w:val="0"/>
          <w:numId w:val="4"/>
        </w:numPr>
        <w:spacing w:line="540" w:lineRule="exact"/>
        <w:ind w:left="0" w:firstLine="628" w:firstLineChars="200"/>
        <w:outlineLvl w:val="1"/>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 xml:space="preserve">    市场成员应该报送与披露包括但不限于以下信息：</w:t>
      </w:r>
    </w:p>
    <w:p>
      <w:pPr>
        <w:spacing w:line="540" w:lineRule="exact"/>
        <w:ind w:firstLine="628" w:firstLineChars="20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一）电力交易机构：交易约束条件及情况；交易电量执行，电量清算、结算等；每笔交易的公告，成交总体情况，成交结果公示等；电力交易计划和执行情况等；偏差电量责任认定、偏差调整资金收入及支出情况等。</w:t>
      </w:r>
    </w:p>
    <w:p>
      <w:pPr>
        <w:autoSpaceDE w:val="0"/>
        <w:autoSpaceDN w:val="0"/>
        <w:spacing w:line="540" w:lineRule="exact"/>
        <w:ind w:firstLine="628" w:firstLineChars="20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（二）电力调度机构：输变电设备的安全约束情况；交易计划执行过程中因电网不可抗力造成的偏差电量责任认定情况；法律法规要求披露的其他信息。</w:t>
      </w:r>
    </w:p>
    <w:p>
      <w:pPr>
        <w:autoSpaceDE w:val="0"/>
        <w:autoSpaceDN w:val="0"/>
        <w:spacing w:line="540" w:lineRule="exact"/>
        <w:ind w:firstLine="628" w:firstLineChars="20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（三）电网企业：发电总体情况、年度电力电量需求预测、电网项目建设进度计划信息、电网概况、检修计划、运行控制限额、输配电价标准、政府性基金及附加、输配电</w:t>
      </w:r>
      <w:r>
        <w:rPr>
          <w:rFonts w:hint="eastAsia" w:ascii="Times New Roman" w:hAnsi="Times New Roman" w:cs="Times New Roman"/>
          <w:spacing w:val="-6"/>
          <w:kern w:val="0"/>
          <w:sz w:val="32"/>
          <w:szCs w:val="32"/>
          <w:lang w:val="en-US" w:eastAsia="zh-CN"/>
        </w:rPr>
        <w:t>综合线损</w:t>
      </w:r>
      <w:r>
        <w:rPr>
          <w:rFonts w:ascii="Times New Roman" w:hAnsi="Times New Roman" w:eastAsia="仿宋_GB2312" w:cs="Times New Roman"/>
          <w:spacing w:val="-6"/>
          <w:kern w:val="0"/>
          <w:sz w:val="32"/>
          <w:szCs w:val="32"/>
        </w:rPr>
        <w:t>率、电网安全运行情况、重要运行方式变化情况、新设备投产情况、机组非计划停运情况、机组启停调峰情况、机组调频调压情况、发电企业发电考核和并网辅助服务执行情况、电网电力供应和用电需求信息等。</w:t>
      </w:r>
    </w:p>
    <w:p>
      <w:pPr>
        <w:autoSpaceDE w:val="0"/>
        <w:autoSpaceDN w:val="0"/>
        <w:spacing w:line="540" w:lineRule="exact"/>
        <w:ind w:firstLine="628" w:firstLineChars="20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四）发电企业：公司名称、股权结构；发电企业的机组台数、机组容量、投产日期、电力业务许可证等；已签合同电量、发电装机容量、剩余容量等；市场交易电量完成情况、电量清算情况、电费结算情况等信息。</w:t>
      </w:r>
    </w:p>
    <w:p>
      <w:pPr>
        <w:autoSpaceDE w:val="0"/>
        <w:autoSpaceDN w:val="0"/>
        <w:spacing w:line="540" w:lineRule="exact"/>
        <w:ind w:firstLine="628" w:firstLineChars="20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五）售电公司：公司名称、股权结构、资产、人员、经营场所、技术支持系统等持续满足注册条件的信息和证明材料；拥有配电网的售电公司同时披露电力业务许可证；市场交易电量完成情况、电量清算情况、电费结算情况等。</w:t>
      </w:r>
    </w:p>
    <w:p>
      <w:pPr>
        <w:autoSpaceDE w:val="0"/>
        <w:autoSpaceDN w:val="0"/>
        <w:spacing w:line="540" w:lineRule="exact"/>
        <w:ind w:firstLine="628" w:firstLineChars="20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六）电力用户：公司名称、股权结构、投产时间、用电电压等级、最大生产能力、年用电量、月度用电量、电费欠缴情况、产品电力单耗、用电负荷率等；市场交易需求、价格等信息；市场交易电量完成情况、电量清算情况、电费结算情况等信息。</w:t>
      </w:r>
    </w:p>
    <w:p>
      <w:pPr>
        <w:numPr>
          <w:ilvl w:val="0"/>
          <w:numId w:val="4"/>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 xml:space="preserve">    售电公司应向代理用户告知月度平均购电成本、偏差考核费用等，促进市场公开透明。</w:t>
      </w:r>
    </w:p>
    <w:p>
      <w:pPr>
        <w:numPr>
          <w:ilvl w:val="0"/>
          <w:numId w:val="4"/>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 xml:space="preserve">    在确保安全的基础上，市场信息主要通过电力交易平台、电力交易机构网站进行披露。电力交易机构负责管理和维护电力交易平台，并为其他市场成员通过电力交易平台、电力交易机构网站披露信息提供便利。各类市场成员按规定通过电力交易平台、电力交易机构网站披露有关信息，并对所披露信息的真实性、准确性和及时性负责。</w:t>
      </w:r>
    </w:p>
    <w:p>
      <w:pPr>
        <w:numPr>
          <w:ilvl w:val="0"/>
          <w:numId w:val="4"/>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 xml:space="preserve">    能源监管机构、政府电力管理部门、电力市场成员不得泄露影响公平竞争和涉及用户隐私的相关信息。电力市场成员因信息泄露造成的市场波动和市场主体损失的，由省发展改革委、省能源局、浙江能源监管办等组织调查并追究责任。</w:t>
      </w:r>
    </w:p>
    <w:p>
      <w:pPr>
        <w:numPr>
          <w:ilvl w:val="0"/>
          <w:numId w:val="3"/>
        </w:numPr>
        <w:spacing w:line="540" w:lineRule="exact"/>
        <w:ind w:left="0" w:firstLine="0"/>
        <w:jc w:val="center"/>
        <w:outlineLvl w:val="0"/>
        <w:rPr>
          <w:rFonts w:ascii="Times New Roman" w:hAnsi="Times New Roman" w:eastAsia="黑体" w:cs="Times New Roman"/>
          <w:spacing w:val="-6"/>
          <w:sz w:val="32"/>
          <w:szCs w:val="32"/>
        </w:rPr>
      </w:pPr>
      <w:r>
        <w:rPr>
          <w:rFonts w:ascii="Times New Roman" w:hAnsi="Times New Roman" w:eastAsia="黑体" w:cs="Times New Roman"/>
          <w:spacing w:val="-6"/>
          <w:sz w:val="32"/>
          <w:szCs w:val="32"/>
        </w:rPr>
        <w:t>市场干预与中止</w:t>
      </w:r>
    </w:p>
    <w:p>
      <w:pPr>
        <w:numPr>
          <w:ilvl w:val="0"/>
          <w:numId w:val="4"/>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 xml:space="preserve">    当出现以下情况时，省发展改革委、省能源局、浙江能源监管办可做出中止电力中长期交易的决定，并向市场交易主体公布中止原因。</w:t>
      </w:r>
    </w:p>
    <w:p>
      <w:pPr>
        <w:autoSpaceDE w:val="0"/>
        <w:autoSpaceDN w:val="0"/>
        <w:spacing w:line="540" w:lineRule="exact"/>
        <w:ind w:firstLine="628" w:firstLineChars="200"/>
        <w:outlineLvl w:val="1"/>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（一）</w:t>
      </w:r>
      <w:r>
        <w:rPr>
          <w:rFonts w:ascii="Times New Roman" w:hAnsi="Times New Roman" w:eastAsia="仿宋_GB2312" w:cs="Times New Roman"/>
          <w:spacing w:val="-6"/>
          <w:sz w:val="32"/>
          <w:szCs w:val="32"/>
        </w:rPr>
        <w:t>电力中长期交易</w:t>
      </w:r>
      <w:r>
        <w:rPr>
          <w:rFonts w:ascii="Times New Roman" w:hAnsi="Times New Roman" w:eastAsia="仿宋_GB2312" w:cs="Times New Roman"/>
          <w:spacing w:val="-6"/>
          <w:kern w:val="0"/>
          <w:sz w:val="32"/>
          <w:szCs w:val="32"/>
        </w:rPr>
        <w:t>未按照规则运行和管理的；</w:t>
      </w:r>
    </w:p>
    <w:p>
      <w:pPr>
        <w:autoSpaceDE w:val="0"/>
        <w:autoSpaceDN w:val="0"/>
        <w:spacing w:line="540" w:lineRule="exact"/>
        <w:ind w:firstLine="628" w:firstLineChars="20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（二）</w:t>
      </w:r>
      <w:r>
        <w:rPr>
          <w:rFonts w:ascii="Times New Roman" w:hAnsi="Times New Roman" w:eastAsia="仿宋_GB2312" w:cs="Times New Roman"/>
          <w:spacing w:val="-6"/>
          <w:sz w:val="32"/>
          <w:szCs w:val="32"/>
        </w:rPr>
        <w:t>电力中长期</w:t>
      </w:r>
      <w:r>
        <w:rPr>
          <w:rFonts w:ascii="Times New Roman" w:hAnsi="Times New Roman" w:eastAsia="仿宋_GB2312" w:cs="Times New Roman"/>
          <w:spacing w:val="-6"/>
          <w:kern w:val="0"/>
          <w:sz w:val="32"/>
          <w:szCs w:val="32"/>
        </w:rPr>
        <w:t>交易规则不适应市场交易需要，或国家新出台相关政策，中长期交易规则必须进行重大修改的；</w:t>
      </w:r>
    </w:p>
    <w:p>
      <w:pPr>
        <w:autoSpaceDE w:val="0"/>
        <w:autoSpaceDN w:val="0"/>
        <w:spacing w:line="540" w:lineRule="exact"/>
        <w:ind w:firstLine="628" w:firstLineChars="20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（三）</w:t>
      </w:r>
      <w:r>
        <w:rPr>
          <w:rFonts w:ascii="Times New Roman" w:hAnsi="Times New Roman" w:eastAsia="仿宋_GB2312" w:cs="Times New Roman"/>
          <w:spacing w:val="-6"/>
          <w:sz w:val="32"/>
          <w:szCs w:val="32"/>
        </w:rPr>
        <w:t>电力中长期</w:t>
      </w:r>
      <w:r>
        <w:rPr>
          <w:rFonts w:ascii="Times New Roman" w:hAnsi="Times New Roman" w:eastAsia="仿宋_GB2312" w:cs="Times New Roman"/>
          <w:spacing w:val="-6"/>
          <w:kern w:val="0"/>
          <w:sz w:val="32"/>
          <w:szCs w:val="32"/>
        </w:rPr>
        <w:t>交易发生恶意串通操纵市场的行为，并严重影响交易结果的；</w:t>
      </w:r>
    </w:p>
    <w:p>
      <w:pPr>
        <w:autoSpaceDE w:val="0"/>
        <w:autoSpaceDN w:val="0"/>
        <w:spacing w:line="540" w:lineRule="exact"/>
        <w:ind w:firstLine="628" w:firstLineChars="20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（四）电力交易平台、自动化系统、数据通信系统等发生重大故障，导致交易长时间无法进行的；</w:t>
      </w:r>
    </w:p>
    <w:p>
      <w:pPr>
        <w:autoSpaceDE w:val="0"/>
        <w:autoSpaceDN w:val="0"/>
        <w:spacing w:line="540" w:lineRule="exact"/>
        <w:ind w:firstLine="628" w:firstLineChars="20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（五）因不可抗力市场交易不能正常开展的；</w:t>
      </w:r>
    </w:p>
    <w:p>
      <w:pPr>
        <w:spacing w:line="540" w:lineRule="exact"/>
        <w:ind w:firstLine="628" w:firstLineChars="20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（六）</w:t>
      </w:r>
      <w:r>
        <w:rPr>
          <w:rFonts w:ascii="Times New Roman" w:hAnsi="Times New Roman" w:eastAsia="仿宋_GB2312" w:cs="Times New Roman"/>
          <w:spacing w:val="-6"/>
          <w:sz w:val="32"/>
          <w:szCs w:val="32"/>
        </w:rPr>
        <w:t>电力中长期交易</w:t>
      </w:r>
      <w:r>
        <w:rPr>
          <w:rFonts w:ascii="Times New Roman" w:hAnsi="Times New Roman" w:eastAsia="仿宋_GB2312" w:cs="Times New Roman"/>
          <w:spacing w:val="-6"/>
          <w:kern w:val="0"/>
          <w:sz w:val="32"/>
          <w:szCs w:val="32"/>
        </w:rPr>
        <w:t>发生严重异常情况的。</w:t>
      </w:r>
    </w:p>
    <w:p>
      <w:pPr>
        <w:numPr>
          <w:ilvl w:val="0"/>
          <w:numId w:val="4"/>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 xml:space="preserve">    电力调度机构为保证电力系统安全稳定运行，可以进行市场干预。电力调度机构进行市场干预应当向市场主体公布干预原因。</w:t>
      </w:r>
    </w:p>
    <w:p>
      <w:pPr>
        <w:numPr>
          <w:ilvl w:val="0"/>
          <w:numId w:val="4"/>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 xml:space="preserve">    市场干预期间，电力调度机构、电力交易机构应详细记录干预的起因、起止时间、范围、对象、手段和结果等内容，并报省发展改革委、省能源局、浙江能源监管办备案。</w:t>
      </w:r>
    </w:p>
    <w:p>
      <w:pPr>
        <w:numPr>
          <w:ilvl w:val="0"/>
          <w:numId w:val="4"/>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 xml:space="preserve">    当面临重大自然灾害和突发事件，省级以上人民政府依法宣布进入应急状态或紧急状态时，可暂停市场交易，全部或部分发电量、用电量应执行指令性交易，包括电量、电价，并免除市场主体的全部或部分违约责任。</w:t>
      </w:r>
    </w:p>
    <w:p>
      <w:pPr>
        <w:numPr>
          <w:ilvl w:val="0"/>
          <w:numId w:val="4"/>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 xml:space="preserve">  当市场秩序满足正常电力中长期市场交易时，电力交易机构应及时向市场交易主体发布市场恢复信息。</w:t>
      </w:r>
    </w:p>
    <w:p>
      <w:pPr>
        <w:spacing w:line="540" w:lineRule="exact"/>
        <w:jc w:val="center"/>
        <w:rPr>
          <w:rFonts w:ascii="Times New Roman" w:hAnsi="Times New Roman" w:eastAsia="黑体" w:cs="Times New Roman"/>
          <w:spacing w:val="-6"/>
          <w:sz w:val="32"/>
          <w:szCs w:val="32"/>
        </w:rPr>
      </w:pPr>
      <w:r>
        <w:rPr>
          <w:rFonts w:ascii="Times New Roman" w:hAnsi="Times New Roman" w:eastAsia="黑体" w:cs="Times New Roman"/>
          <w:spacing w:val="-6"/>
          <w:kern w:val="0"/>
          <w:sz w:val="32"/>
          <w:szCs w:val="32"/>
        </w:rPr>
        <w:t>第十章    争议和违规处理</w:t>
      </w:r>
    </w:p>
    <w:p>
      <w:pPr>
        <w:numPr>
          <w:ilvl w:val="0"/>
          <w:numId w:val="4"/>
        </w:numPr>
        <w:spacing w:line="540" w:lineRule="exact"/>
        <w:ind w:left="0" w:firstLine="628" w:firstLineChars="200"/>
        <w:outlineLvl w:val="1"/>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 xml:space="preserve">    本规则所指争议是市场成员之间的下列争议：</w:t>
      </w:r>
    </w:p>
    <w:p>
      <w:pPr>
        <w:autoSpaceDE w:val="0"/>
        <w:autoSpaceDN w:val="0"/>
        <w:spacing w:line="540" w:lineRule="exact"/>
        <w:ind w:firstLine="628" w:firstLineChars="20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（一）注册或注销市场资格的争议；</w:t>
      </w:r>
    </w:p>
    <w:p>
      <w:pPr>
        <w:autoSpaceDE w:val="0"/>
        <w:autoSpaceDN w:val="0"/>
        <w:spacing w:line="540" w:lineRule="exact"/>
        <w:ind w:firstLine="628" w:firstLineChars="20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（二）市场成员按照规则行使权利和履行义务的争议；</w:t>
      </w:r>
    </w:p>
    <w:p>
      <w:pPr>
        <w:autoSpaceDE w:val="0"/>
        <w:autoSpaceDN w:val="0"/>
        <w:spacing w:line="540" w:lineRule="exact"/>
        <w:ind w:firstLine="628" w:firstLineChars="20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（三）市场交易、计量、考核和结算的争议；</w:t>
      </w:r>
    </w:p>
    <w:p>
      <w:pPr>
        <w:spacing w:line="540" w:lineRule="exact"/>
        <w:ind w:firstLine="628" w:firstLineChars="20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（四）其他方面的争议。</w:t>
      </w:r>
    </w:p>
    <w:p>
      <w:pPr>
        <w:numPr>
          <w:ilvl w:val="0"/>
          <w:numId w:val="4"/>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 xml:space="preserve">    发生争议时，按照国家有关法律法规和国家能源局及浙江省的相关规定处理，具体方式有：</w:t>
      </w:r>
    </w:p>
    <w:p>
      <w:pPr>
        <w:numPr>
          <w:ilvl w:val="0"/>
          <w:numId w:val="23"/>
        </w:numPr>
        <w:spacing w:line="540" w:lineRule="exact"/>
        <w:ind w:firstLine="62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协商解决；</w:t>
      </w:r>
    </w:p>
    <w:p>
      <w:pPr>
        <w:numPr>
          <w:ilvl w:val="0"/>
          <w:numId w:val="23"/>
        </w:numPr>
        <w:spacing w:line="540" w:lineRule="exact"/>
        <w:ind w:firstLine="62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申请调解；</w:t>
      </w:r>
    </w:p>
    <w:p>
      <w:pPr>
        <w:numPr>
          <w:ilvl w:val="0"/>
          <w:numId w:val="23"/>
        </w:numPr>
        <w:spacing w:line="540" w:lineRule="exact"/>
        <w:ind w:firstLine="62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提请仲裁；</w:t>
      </w:r>
    </w:p>
    <w:p>
      <w:pPr>
        <w:numPr>
          <w:ilvl w:val="0"/>
          <w:numId w:val="23"/>
        </w:numPr>
        <w:spacing w:line="540" w:lineRule="exact"/>
        <w:ind w:firstLine="62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提请司法诉讼。</w:t>
      </w:r>
    </w:p>
    <w:p>
      <w:pPr>
        <w:numPr>
          <w:ilvl w:val="0"/>
          <w:numId w:val="4"/>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 xml:space="preserve">    市场成员扰乱市场秩序，出现下列违规行为的，由浙江能源监管办按照《电力监管条例》等相关法律法规处理：</w:t>
      </w:r>
    </w:p>
    <w:p>
      <w:pPr>
        <w:numPr>
          <w:ilvl w:val="0"/>
          <w:numId w:val="24"/>
        </w:numPr>
        <w:spacing w:line="540" w:lineRule="exact"/>
        <w:ind w:firstLine="62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提供虚假材料或以其他欺骗手段取得市场准入资格；</w:t>
      </w:r>
    </w:p>
    <w:p>
      <w:pPr>
        <w:numPr>
          <w:ilvl w:val="0"/>
          <w:numId w:val="24"/>
        </w:numPr>
        <w:spacing w:line="540" w:lineRule="exact"/>
        <w:ind w:firstLine="62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滥用市场支配地位，恶意串通、操纵市场；</w:t>
      </w:r>
    </w:p>
    <w:p>
      <w:pPr>
        <w:numPr>
          <w:ilvl w:val="0"/>
          <w:numId w:val="24"/>
        </w:numPr>
        <w:spacing w:line="540" w:lineRule="exact"/>
        <w:ind w:firstLine="62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不按时结算，侵害其他市场交易主体利益；</w:t>
      </w:r>
    </w:p>
    <w:p>
      <w:pPr>
        <w:numPr>
          <w:ilvl w:val="0"/>
          <w:numId w:val="24"/>
        </w:numPr>
        <w:spacing w:line="540" w:lineRule="exact"/>
        <w:ind w:firstLine="62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市场运营机构对市场交易主体有歧视行为；</w:t>
      </w:r>
    </w:p>
    <w:p>
      <w:pPr>
        <w:numPr>
          <w:ilvl w:val="0"/>
          <w:numId w:val="24"/>
        </w:numPr>
        <w:spacing w:line="540" w:lineRule="exact"/>
        <w:ind w:firstLine="62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提供虚假信息或违规发布信息；</w:t>
      </w:r>
    </w:p>
    <w:p>
      <w:pPr>
        <w:numPr>
          <w:ilvl w:val="0"/>
          <w:numId w:val="24"/>
        </w:numPr>
        <w:spacing w:line="540" w:lineRule="exact"/>
        <w:ind w:firstLine="62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泄露应当保密的信息；</w:t>
      </w:r>
    </w:p>
    <w:p>
      <w:pPr>
        <w:numPr>
          <w:ilvl w:val="0"/>
          <w:numId w:val="24"/>
        </w:numPr>
        <w:spacing w:line="540" w:lineRule="exact"/>
        <w:ind w:firstLine="62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其他严重违反市场规则的行为。</w:t>
      </w:r>
    </w:p>
    <w:p>
      <w:pPr>
        <w:spacing w:line="540" w:lineRule="exact"/>
        <w:ind w:left="854" w:leftChars="272" w:firstLine="2282" w:firstLineChars="727"/>
        <w:outlineLvl w:val="0"/>
        <w:rPr>
          <w:rFonts w:ascii="Times New Roman" w:hAnsi="Times New Roman" w:eastAsia="黑体" w:cs="Times New Roman"/>
          <w:spacing w:val="-6"/>
          <w:sz w:val="32"/>
          <w:szCs w:val="32"/>
        </w:rPr>
      </w:pPr>
      <w:r>
        <w:rPr>
          <w:rFonts w:ascii="Times New Roman" w:hAnsi="Times New Roman" w:eastAsia="黑体" w:cs="Times New Roman"/>
          <w:spacing w:val="-6"/>
          <w:sz w:val="32"/>
          <w:szCs w:val="32"/>
        </w:rPr>
        <w:t>第十一章   附则</w:t>
      </w:r>
    </w:p>
    <w:p>
      <w:pPr>
        <w:numPr>
          <w:ilvl w:val="0"/>
          <w:numId w:val="4"/>
        </w:numPr>
        <w:spacing w:line="540" w:lineRule="exact"/>
        <w:ind w:left="0" w:firstLine="628" w:firstLineChars="200"/>
        <w:outlineLvl w:val="1"/>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 xml:space="preserve">    电力中长期交易监管办法由浙江能源监管办另行制定。</w:t>
      </w:r>
    </w:p>
    <w:p>
      <w:pPr>
        <w:numPr>
          <w:ilvl w:val="0"/>
          <w:numId w:val="4"/>
        </w:numPr>
        <w:spacing w:line="540" w:lineRule="exact"/>
        <w:ind w:left="0" w:firstLine="628" w:firstLineChars="200"/>
        <w:outlineLvl w:val="1"/>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 xml:space="preserve">    本规则由省发展改革委、浙江能源监管办、省能源局负责解释。</w:t>
      </w:r>
    </w:p>
    <w:p>
      <w:pPr>
        <w:numPr>
          <w:ilvl w:val="0"/>
          <w:numId w:val="4"/>
        </w:numPr>
        <w:spacing w:line="540" w:lineRule="exact"/>
        <w:ind w:left="0" w:firstLine="628" w:firstLineChars="200"/>
        <w:outlineLvl w:val="2"/>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 xml:space="preserve">    </w:t>
      </w:r>
      <w:r>
        <w:rPr>
          <w:rFonts w:ascii="Times New Roman" w:hAnsi="Times New Roman" w:eastAsia="仿宋_GB2312" w:cs="Times New Roman"/>
          <w:spacing w:val="-6"/>
          <w:sz w:val="32"/>
          <w:szCs w:val="22"/>
        </w:rPr>
        <w:t>本规则自发布之日起施行</w:t>
      </w:r>
      <w:r>
        <w:rPr>
          <w:rFonts w:ascii="Times New Roman" w:hAnsi="Times New Roman" w:eastAsia="仿宋_GB2312" w:cs="Times New Roman"/>
          <w:spacing w:val="-6"/>
          <w:sz w:val="32"/>
          <w:szCs w:val="32"/>
        </w:rPr>
        <w:t>。《浙江省电力中长期规则（202</w:t>
      </w:r>
      <w:r>
        <w:rPr>
          <w:rFonts w:hint="eastAsia" w:ascii="Times New Roman" w:hAnsi="Times New Roman" w:cs="Times New Roman"/>
          <w:spacing w:val="-6"/>
          <w:sz w:val="32"/>
          <w:szCs w:val="32"/>
          <w:lang w:val="en-US" w:eastAsia="zh-CN"/>
        </w:rPr>
        <w:t>2</w:t>
      </w:r>
      <w:r>
        <w:rPr>
          <w:rFonts w:ascii="Times New Roman" w:hAnsi="Times New Roman" w:eastAsia="仿宋_GB2312" w:cs="Times New Roman"/>
          <w:spacing w:val="-6"/>
          <w:sz w:val="32"/>
          <w:szCs w:val="32"/>
        </w:rPr>
        <w:t>年修订版）》（浙发改能源〔202</w:t>
      </w:r>
      <w:r>
        <w:rPr>
          <w:rFonts w:hint="eastAsia" w:ascii="Times New Roman" w:hAnsi="Times New Roman" w:cs="Times New Roman"/>
          <w:spacing w:val="-6"/>
          <w:sz w:val="32"/>
          <w:szCs w:val="32"/>
          <w:lang w:val="en-US" w:eastAsia="zh-CN"/>
        </w:rPr>
        <w:t>2</w:t>
      </w:r>
      <w:r>
        <w:rPr>
          <w:rFonts w:ascii="Times New Roman" w:hAnsi="Times New Roman" w:eastAsia="仿宋_GB2312" w:cs="Times New Roman"/>
          <w:spacing w:val="-6"/>
          <w:sz w:val="32"/>
          <w:szCs w:val="32"/>
        </w:rPr>
        <w:t>〕</w:t>
      </w:r>
      <w:r>
        <w:rPr>
          <w:rFonts w:hint="eastAsia" w:ascii="Times New Roman" w:hAnsi="Times New Roman" w:cs="Times New Roman"/>
          <w:spacing w:val="-6"/>
          <w:sz w:val="32"/>
          <w:szCs w:val="32"/>
          <w:lang w:val="en-US" w:eastAsia="zh-CN"/>
        </w:rPr>
        <w:t>301</w:t>
      </w:r>
      <w:r>
        <w:rPr>
          <w:rFonts w:ascii="Times New Roman" w:hAnsi="Times New Roman" w:eastAsia="仿宋_GB2312" w:cs="Times New Roman"/>
          <w:spacing w:val="-6"/>
          <w:sz w:val="32"/>
          <w:szCs w:val="32"/>
        </w:rPr>
        <w:t>号）自本规则生效之日起失效。以往规定如与本规则不一致的，以本规则为准。</w:t>
      </w:r>
    </w:p>
    <w:p>
      <w:pPr>
        <w:numPr>
          <w:ilvl w:val="0"/>
          <w:numId w:val="0"/>
        </w:numPr>
        <w:spacing w:line="540" w:lineRule="exact"/>
        <w:ind w:left="0" w:firstLine="628" w:firstLineChars="200"/>
        <w:outlineLvl w:val="2"/>
        <w:rPr>
          <w:rFonts w:ascii="Times New Roman" w:hAnsi="Times New Roman" w:eastAsia="仿宋_GB2312" w:cs="Times New Roman"/>
          <w:spacing w:val="-6"/>
          <w:sz w:val="32"/>
          <w:szCs w:val="32"/>
        </w:rPr>
      </w:pPr>
    </w:p>
    <w:p>
      <w:pPr>
        <w:numPr>
          <w:ilvl w:val="0"/>
          <w:numId w:val="0"/>
        </w:numPr>
        <w:spacing w:line="540" w:lineRule="exact"/>
        <w:ind w:left="0" w:firstLine="628" w:firstLineChars="200"/>
        <w:outlineLvl w:val="2"/>
        <w:rPr>
          <w:rFonts w:ascii="Times New Roman" w:hAnsi="Times New Roman" w:eastAsia="仿宋_GB2312" w:cs="Times New Roman"/>
          <w:spacing w:val="-6"/>
          <w:sz w:val="32"/>
          <w:szCs w:val="32"/>
        </w:rPr>
      </w:pPr>
    </w:p>
    <w:p>
      <w:pPr>
        <w:numPr>
          <w:ilvl w:val="0"/>
          <w:numId w:val="0"/>
        </w:numPr>
        <w:spacing w:line="540" w:lineRule="exact"/>
        <w:ind w:left="0" w:firstLine="628" w:firstLineChars="200"/>
        <w:outlineLvl w:val="2"/>
        <w:rPr>
          <w:rFonts w:ascii="Times New Roman" w:hAnsi="Times New Roman" w:eastAsia="仿宋_GB2312" w:cs="Times New Roman"/>
          <w:spacing w:val="-6"/>
          <w:sz w:val="32"/>
          <w:szCs w:val="32"/>
        </w:rPr>
      </w:pPr>
    </w:p>
    <w:p>
      <w:pPr>
        <w:keepNext w:val="0"/>
        <w:keepLines w:val="0"/>
        <w:pageBreakBefore w:val="0"/>
        <w:widowControl w:val="0"/>
        <w:kinsoku/>
        <w:overflowPunct/>
        <w:topLinePunct w:val="0"/>
        <w:autoSpaceDE/>
        <w:autoSpaceDN w:val="0"/>
        <w:bidi w:val="0"/>
        <w:snapToGrid/>
        <w:spacing w:line="20" w:lineRule="exact"/>
        <w:jc w:val="left"/>
        <w:textAlignment w:val="auto"/>
        <w:outlineLvl w:val="9"/>
        <w:rPr>
          <w:rFonts w:hint="default" w:ascii="Times New Roman" w:hAnsi="Times New Roman" w:eastAsia="仿宋_GB2312" w:cs="Times New Roman"/>
          <w:spacing w:val="0"/>
          <w:lang w:eastAsia="zh-CN"/>
        </w:rPr>
      </w:pPr>
    </w:p>
    <w:sectPr>
      <w:footerReference r:id="rId7" w:type="default"/>
      <w:footerReference r:id="rId8" w:type="even"/>
      <w:pgSz w:w="11906" w:h="16838"/>
      <w:pgMar w:top="2098" w:right="1474" w:bottom="1984" w:left="1588" w:header="851" w:footer="1587" w:gutter="0"/>
      <w:paperSrc/>
      <w:pgNumType w:fmt="decimal"/>
      <w:cols w:space="720" w:num="1"/>
      <w:rtlGutter w:val="0"/>
      <w:docGrid w:type="linesAndChars" w:linePitch="579" w:charSpace="122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戴洁芬" w:date="2023-09-12T11:37:00Z" w:initials="戴">
    <w:p w14:paraId="48230029">
      <w:pPr>
        <w:pStyle w:val="11"/>
      </w:pPr>
      <w:r>
        <w:rPr>
          <w:rFonts w:hint="eastAsia" w:ascii="仿宋_GB2312" w:hAnsi="仿宋_GB2312" w:eastAsia="仿宋_GB2312" w:cs="仿宋_GB2312"/>
          <w:kern w:val="2"/>
          <w:sz w:val="32"/>
          <w:szCs w:val="32"/>
          <w:lang w:val="en-US" w:eastAsia="zh-CN" w:bidi="ar"/>
        </w:rPr>
        <w:t>国家发展改革委关于第三监管周期省级输配电价及有关事项的通知（发改价格〔2023〕526号）、《国家发展改革委关于进一步完善分时电价机制的通知》（发改价格〔2021〕1093号）</w:t>
      </w:r>
    </w:p>
  </w:comment>
  <w:comment w:id="1" w:author="戴洁芬" w:date="2023-09-12T11:38:00Z" w:initials="戴">
    <w:p w14:paraId="678418BE">
      <w:pPr>
        <w:pStyle w:val="11"/>
      </w:pPr>
      <w:r>
        <w:rPr>
          <w:rFonts w:hint="eastAsia" w:ascii="仿宋_GB2312" w:hAnsi="仿宋_GB2312" w:eastAsia="仿宋_GB2312" w:cs="仿宋_GB2312"/>
          <w:kern w:val="2"/>
          <w:sz w:val="32"/>
          <w:szCs w:val="32"/>
          <w:lang w:val="en-US" w:eastAsia="zh-CN" w:bidi="ar"/>
        </w:rPr>
        <w:t>《国家发展改革委关于第三监管周期省级输配电价及有关事项的通知》（发改价格〔2023〕526号）、《国家发展改革委办公厅关于组织开展电网企业代理购电工作有关事项的通知》（发改办价格〔2021〕809号）、《国家发展改革委关于进一步完善分时电价机制的通知》（发改价格〔2021〕1093号）</w:t>
      </w:r>
    </w:p>
  </w:comment>
  <w:comment w:id="2" w:author="戴洁芬" w:date="2023-09-12T11:41:00Z" w:initials="戴">
    <w:p w14:paraId="3D6C4AE1">
      <w:pPr>
        <w:pStyle w:val="11"/>
      </w:pPr>
      <w:r>
        <w:rPr>
          <w:rFonts w:hint="eastAsia" w:ascii="仿宋_GB2312" w:hAnsi="仿宋_GB2312" w:eastAsia="仿宋_GB2312" w:cs="仿宋_GB2312"/>
          <w:kern w:val="2"/>
          <w:sz w:val="32"/>
          <w:szCs w:val="32"/>
          <w:lang w:val="en-US" w:eastAsia="zh-CN" w:bidi="ar"/>
        </w:rPr>
        <w:t>《国家发展改革委关于第三监管周期省级输配电价及有关事项的通知》（发改价格〔2023〕526号）、《省发展改革委关于明确工商业用户电价构成中部分费用预测及清算相关事宜的函》（浙发改价格函〔2023〕301号）</w:t>
      </w:r>
    </w:p>
  </w:comment>
  <w:comment w:id="3" w:author="戴洁芬" w:date="2023-09-12T11:43:00Z" w:initials="戴">
    <w:p w14:paraId="72AE2CD6">
      <w:pPr>
        <w:keepNext w:val="0"/>
        <w:keepLines w:val="0"/>
        <w:widowControl/>
        <w:suppressLineNumbers w:val="0"/>
        <w:adjustRightInd w:val="0"/>
        <w:snapToGrid w:val="0"/>
        <w:spacing w:before="0" w:beforeAutospacing="0" w:after="0" w:afterAutospacing="0" w:line="360" w:lineRule="auto"/>
        <w:ind w:left="0" w:right="0" w:firstLine="616" w:firstLineChars="200"/>
        <w:jc w:val="left"/>
      </w:pPr>
      <w:r>
        <w:rPr>
          <w:rFonts w:hint="eastAsia" w:ascii="仿宋" w:hAnsi="仿宋" w:eastAsia="仿宋" w:cs="宋体"/>
          <w:color w:val="000000"/>
          <w:spacing w:val="-6"/>
          <w:kern w:val="0"/>
          <w:sz w:val="32"/>
          <w:szCs w:val="32"/>
          <w:lang w:val="en-US" w:eastAsia="zh-CN" w:bidi="ar"/>
        </w:rPr>
        <w:t>《关于做好电力现货市场试点连续试结算相关工作的通知》（发改办能源规〔2020〕245号）</w:t>
      </w:r>
    </w:p>
  </w:comment>
  <w:comment w:id="4" w:author="戴洁芬" w:date="2023-09-12T11:43:00Z" w:initials="戴">
    <w:p w14:paraId="5F906952">
      <w:pPr>
        <w:keepNext w:val="0"/>
        <w:keepLines w:val="0"/>
        <w:widowControl/>
        <w:suppressLineNumbers w:val="0"/>
        <w:adjustRightInd w:val="0"/>
        <w:snapToGrid w:val="0"/>
        <w:spacing w:before="0" w:beforeAutospacing="0" w:after="0" w:afterAutospacing="0" w:line="360" w:lineRule="auto"/>
        <w:ind w:left="0" w:right="0" w:firstLine="616" w:firstLineChars="200"/>
        <w:jc w:val="left"/>
      </w:pPr>
      <w:r>
        <w:rPr>
          <w:rFonts w:hint="eastAsia" w:ascii="仿宋" w:hAnsi="仿宋" w:eastAsia="仿宋" w:cs="宋体"/>
          <w:color w:val="000000"/>
          <w:spacing w:val="-6"/>
          <w:kern w:val="0"/>
          <w:sz w:val="32"/>
          <w:szCs w:val="32"/>
          <w:lang w:val="en-US" w:eastAsia="zh-CN" w:bidi="ar"/>
        </w:rPr>
        <w:t>《关于做好电力现货市场试点连续试结算相关工作的通知》（发改办能源规〔2020〕245号）</w:t>
      </w:r>
    </w:p>
  </w:comment>
  <w:comment w:id="5" w:author="戴洁芬" w:date="2023-09-12T11:42:00Z" w:initials="戴">
    <w:p w14:paraId="6DF11649">
      <w:pPr>
        <w:pStyle w:val="11"/>
      </w:pPr>
      <w:r>
        <w:rPr>
          <w:rFonts w:hint="eastAsia" w:ascii="仿宋_GB2312" w:hAnsi="仿宋_GB2312" w:eastAsia="仿宋_GB2312" w:cs="仿宋_GB2312"/>
          <w:kern w:val="2"/>
          <w:sz w:val="32"/>
          <w:szCs w:val="32"/>
          <w:lang w:val="en-US" w:eastAsia="zh-CN" w:bidi="ar"/>
        </w:rPr>
        <w:t>《浙江省电力条例》（浙江省人大常委会第79号）</w:t>
      </w:r>
    </w:p>
  </w:comment>
  <w:comment w:id="6" w:author="戴洁芬" w:date="2023-09-12T11:42:00Z" w:initials="戴">
    <w:p w14:paraId="41BB5AF1">
      <w:pPr>
        <w:pStyle w:val="11"/>
      </w:pPr>
      <w:r>
        <w:rPr>
          <w:rFonts w:hint="eastAsia" w:ascii="仿宋_GB2312" w:hAnsi="仿宋_GB2312" w:eastAsia="仿宋_GB2312" w:cs="仿宋_GB2312"/>
          <w:kern w:val="2"/>
          <w:sz w:val="32"/>
          <w:szCs w:val="32"/>
          <w:lang w:val="en-US" w:eastAsia="zh-CN" w:bidi="ar"/>
        </w:rPr>
        <w:t>《国家发展改革委关于第三监管周期省级输配电价及有关事项的通知》（发改价格〔2023〕526号）、《省发展改革委关于明确工商业用户电价构成中部分费用预测及清算相关事宜的函》（浙发改价格函〔2023〕301号）</w:t>
      </w:r>
    </w:p>
  </w:comment>
  <w:comment w:id="7" w:author="戴洁芬" w:date="2023-09-12T11:42:00Z" w:initials="戴">
    <w:p w14:paraId="01EB26E9">
      <w:pPr>
        <w:pStyle w:val="11"/>
      </w:pPr>
      <w:r>
        <w:rPr>
          <w:rFonts w:hint="eastAsia" w:ascii="仿宋_GB2312" w:hAnsi="仿宋_GB2312" w:eastAsia="仿宋_GB2312" w:cs="仿宋_GB2312"/>
          <w:kern w:val="2"/>
          <w:sz w:val="32"/>
          <w:szCs w:val="32"/>
          <w:lang w:val="en-US" w:eastAsia="zh-CN" w:bidi="ar"/>
        </w:rPr>
        <w:t>《国家发展改革委关于第三监管周期省级输配电价及有关事项的通知》（发改价格〔2023〕526号）、《省发展改革委关于明确工商业用户电价构成中部分费用预测及清算相关事宜的函》（浙发改价格函〔2023〕301号）</w:t>
      </w:r>
    </w:p>
  </w:comment>
  <w:comment w:id="8" w:author="戴洁芬" w:date="2023-09-12T11:43:00Z" w:initials="戴">
    <w:p w14:paraId="2EA60BB3">
      <w:pPr>
        <w:pStyle w:val="11"/>
      </w:pPr>
      <w:r>
        <w:rPr>
          <w:rFonts w:hint="eastAsia" w:ascii="仿宋_GB2312" w:hAnsi="仿宋_GB2312" w:eastAsia="仿宋_GB2312" w:cs="仿宋_GB2312"/>
          <w:kern w:val="2"/>
          <w:sz w:val="32"/>
          <w:szCs w:val="32"/>
          <w:lang w:val="en-US" w:eastAsia="zh-CN" w:bidi="ar"/>
        </w:rPr>
        <w:t>《国家发展改革委关于第三监管周期省级输配电价及有关事项的通知》（发改价格〔2023〕526号）、《省发展改革委关于明确工商业用户电价构成中部分费用预测及清算相关事宜的函》（浙发改价格函〔2023〕301号）</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8230029" w15:done="0"/>
  <w15:commentEx w15:paraId="678418BE" w15:done="0"/>
  <w15:commentEx w15:paraId="3D6C4AE1" w15:done="0"/>
  <w15:commentEx w15:paraId="72AE2CD6" w15:done="0"/>
  <w15:commentEx w15:paraId="5F906952" w15:done="0"/>
  <w15:commentEx w15:paraId="6DF11649" w15:done="0"/>
  <w15:commentEx w15:paraId="41BB5AF1" w15:done="0"/>
  <w15:commentEx w15:paraId="01EB26E9" w15:done="0"/>
  <w15:commentEx w15:paraId="2EA60BB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 w:name="方正黑体_GBK">
    <w:altName w:val="Arial Unicode MS"/>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keepNext w:val="0"/>
      <w:keepLines w:val="0"/>
      <w:pageBreakBefore w:val="0"/>
      <w:widowControl w:val="0"/>
      <w:kinsoku/>
      <w:wordWrap w:val="0"/>
      <w:overflowPunct w:val="0"/>
      <w:topLinePunct w:val="0"/>
      <w:autoSpaceDE w:val="0"/>
      <w:autoSpaceDN w:val="0"/>
      <w:bidi w:val="0"/>
      <w:adjustRightInd w:val="0"/>
      <w:snapToGrid/>
      <w:spacing w:line="400" w:lineRule="exact"/>
      <w:ind w:left="0" w:leftChars="0" w:right="308" w:rightChars="100" w:firstLine="0" w:firstLineChars="0"/>
      <w:jc w:val="right"/>
      <w:textAlignment w:val="baseline"/>
      <w:outlineLvl w:val="9"/>
      <w:rPr>
        <w:rFonts w:hint="default" w:ascii="Times New Roman" w:hAnsi="Times New Roman" w:eastAsia="宋体" w:cs="Times New Roman"/>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keepNext w:val="0"/>
      <w:keepLines w:val="0"/>
      <w:pageBreakBefore w:val="0"/>
      <w:widowControl w:val="0"/>
      <w:kinsoku/>
      <w:wordWrap/>
      <w:overflowPunct w:val="0"/>
      <w:topLinePunct w:val="0"/>
      <w:autoSpaceDE w:val="0"/>
      <w:autoSpaceDN w:val="0"/>
      <w:bidi w:val="0"/>
      <w:adjustRightInd w:val="0"/>
      <w:snapToGrid/>
      <w:spacing w:line="400" w:lineRule="exact"/>
      <w:ind w:left="0" w:leftChars="0" w:right="0" w:rightChars="0" w:firstLine="0" w:firstLineChars="0"/>
      <w:jc w:val="right"/>
      <w:textAlignment w:val="baseline"/>
      <w:outlineLvl w:val="9"/>
      <w:rPr>
        <w:rStyle w:val="17"/>
        <w:rFonts w:hint="eastAsia" w:ascii="宋体" w:hAnsi="宋体" w:eastAsia="宋体"/>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D39E2B"/>
    <w:multiLevelType w:val="singleLevel"/>
    <w:tmpl w:val="8CD39E2B"/>
    <w:lvl w:ilvl="0" w:tentative="0">
      <w:start w:val="1"/>
      <w:numFmt w:val="chineseCounting"/>
      <w:suff w:val="nothing"/>
      <w:lvlText w:val="（%1）"/>
      <w:lvlJc w:val="left"/>
      <w:pPr>
        <w:ind w:left="0" w:firstLine="420"/>
      </w:pPr>
      <w:rPr>
        <w:rFonts w:hint="eastAsia" w:ascii="仿宋_GB2312" w:hAnsi="仿宋_GB2312" w:eastAsia="仿宋_GB2312" w:cs="仿宋_GB2312"/>
        <w:sz w:val="32"/>
        <w:szCs w:val="32"/>
      </w:rPr>
    </w:lvl>
  </w:abstractNum>
  <w:abstractNum w:abstractNumId="1">
    <w:nsid w:val="8EE92ABC"/>
    <w:multiLevelType w:val="singleLevel"/>
    <w:tmpl w:val="8EE92ABC"/>
    <w:lvl w:ilvl="0" w:tentative="0">
      <w:start w:val="1"/>
      <w:numFmt w:val="chineseCounting"/>
      <w:suff w:val="nothing"/>
      <w:lvlText w:val="（%1）"/>
      <w:lvlJc w:val="left"/>
      <w:pPr>
        <w:ind w:left="0" w:firstLine="420"/>
      </w:pPr>
      <w:rPr>
        <w:rFonts w:hint="eastAsia" w:ascii="仿宋_GB2312" w:hAnsi="仿宋_GB2312" w:eastAsia="仿宋_GB2312" w:cs="仿宋_GB2312"/>
        <w:sz w:val="32"/>
        <w:szCs w:val="32"/>
      </w:rPr>
    </w:lvl>
  </w:abstractNum>
  <w:abstractNum w:abstractNumId="2">
    <w:nsid w:val="92DB96BC"/>
    <w:multiLevelType w:val="singleLevel"/>
    <w:tmpl w:val="92DB96BC"/>
    <w:lvl w:ilvl="0" w:tentative="0">
      <w:start w:val="1"/>
      <w:numFmt w:val="chineseCounting"/>
      <w:suff w:val="nothing"/>
      <w:lvlText w:val="（%1）"/>
      <w:lvlJc w:val="left"/>
      <w:pPr>
        <w:ind w:left="0" w:firstLine="420"/>
      </w:pPr>
      <w:rPr>
        <w:rFonts w:hint="eastAsia" w:ascii="仿宋_GB2312" w:hAnsi="仿宋_GB2312" w:eastAsia="仿宋_GB2312" w:cs="仿宋_GB2312"/>
        <w:sz w:val="32"/>
        <w:szCs w:val="32"/>
      </w:rPr>
    </w:lvl>
  </w:abstractNum>
  <w:abstractNum w:abstractNumId="3">
    <w:nsid w:val="97460BFA"/>
    <w:multiLevelType w:val="singleLevel"/>
    <w:tmpl w:val="97460BFA"/>
    <w:lvl w:ilvl="0" w:tentative="0">
      <w:start w:val="1"/>
      <w:numFmt w:val="chineseCounting"/>
      <w:suff w:val="nothing"/>
      <w:lvlText w:val="（%1）"/>
      <w:lvlJc w:val="left"/>
      <w:pPr>
        <w:ind w:left="0" w:firstLine="420"/>
      </w:pPr>
      <w:rPr>
        <w:rFonts w:hint="eastAsia" w:ascii="仿宋_GB2312" w:hAnsi="仿宋_GB2312" w:eastAsia="仿宋_GB2312" w:cs="仿宋_GB2312"/>
        <w:sz w:val="32"/>
        <w:szCs w:val="32"/>
      </w:rPr>
    </w:lvl>
  </w:abstractNum>
  <w:abstractNum w:abstractNumId="4">
    <w:nsid w:val="A318EAA1"/>
    <w:multiLevelType w:val="multilevel"/>
    <w:tmpl w:val="A318EAA1"/>
    <w:lvl w:ilvl="0" w:tentative="0">
      <w:start w:val="1"/>
      <w:numFmt w:val="decimal"/>
      <w:pStyle w:val="2"/>
      <w:lvlText w:val="%1"/>
      <w:lvlJc w:val="left"/>
      <w:pPr>
        <w:ind w:left="431" w:hanging="431"/>
      </w:pPr>
      <w:rPr>
        <w:rFonts w:hint="eastAsia"/>
      </w:rPr>
    </w:lvl>
    <w:lvl w:ilvl="1" w:tentative="0">
      <w:start w:val="1"/>
      <w:numFmt w:val="decimal"/>
      <w:pStyle w:val="3"/>
      <w:lvlText w:val="%1.%2"/>
      <w:lvlJc w:val="left"/>
      <w:pPr>
        <w:ind w:left="578" w:hanging="17"/>
      </w:pPr>
      <w:rPr>
        <w:rFonts w:hint="eastAsia"/>
      </w:rPr>
    </w:lvl>
    <w:lvl w:ilvl="2" w:tentative="0">
      <w:start w:val="1"/>
      <w:numFmt w:val="decimal"/>
      <w:pStyle w:val="4"/>
      <w:lvlText w:val="%1.%2.%3"/>
      <w:lvlJc w:val="left"/>
      <w:pPr>
        <w:ind w:left="29" w:hanging="29"/>
      </w:pPr>
      <w:rPr>
        <w:rFonts w:hint="eastAsia"/>
      </w:rPr>
    </w:lvl>
    <w:lvl w:ilvl="3" w:tentative="0">
      <w:start w:val="1"/>
      <w:numFmt w:val="decimal"/>
      <w:pStyle w:val="5"/>
      <w:lvlText w:val="%1.%2.%3.%4"/>
      <w:lvlJc w:val="left"/>
      <w:pPr>
        <w:ind w:left="390" w:hanging="390"/>
      </w:pPr>
      <w:rPr>
        <w:rFonts w:hint="eastAsia"/>
        <w:lang w:val="en-US"/>
      </w:rPr>
    </w:lvl>
    <w:lvl w:ilvl="4" w:tentative="0">
      <w:start w:val="1"/>
      <w:numFmt w:val="decimal"/>
      <w:pStyle w:val="6"/>
      <w:lvlText w:val="%1.%2.%3.%4.%5"/>
      <w:lvlJc w:val="left"/>
      <w:pPr>
        <w:ind w:left="520" w:hanging="520"/>
      </w:pPr>
      <w:rPr>
        <w:rFonts w:hint="eastAsia"/>
        <w:b/>
        <w:sz w:val="28"/>
      </w:rPr>
    </w:lvl>
    <w:lvl w:ilvl="5" w:tentative="0">
      <w:start w:val="1"/>
      <w:numFmt w:val="decimal"/>
      <w:pStyle w:val="7"/>
      <w:lvlText w:val="%1.%2.%3.%4.%5.%6"/>
      <w:lvlJc w:val="left"/>
      <w:pPr>
        <w:ind w:left="650" w:firstLine="431"/>
      </w:pPr>
      <w:rPr>
        <w:rFonts w:hint="eastAsia"/>
      </w:rPr>
    </w:lvl>
    <w:lvl w:ilvl="6" w:tentative="0">
      <w:start w:val="1"/>
      <w:numFmt w:val="decimal"/>
      <w:pStyle w:val="8"/>
      <w:lvlText w:val="%1.%2.%3.%4.%5.%6.%7"/>
      <w:lvlJc w:val="left"/>
      <w:pPr>
        <w:ind w:left="780" w:firstLine="431"/>
      </w:pPr>
      <w:rPr>
        <w:rFonts w:hint="eastAsia"/>
      </w:rPr>
    </w:lvl>
    <w:lvl w:ilvl="7" w:tentative="0">
      <w:start w:val="1"/>
      <w:numFmt w:val="decimal"/>
      <w:pStyle w:val="9"/>
      <w:lvlText w:val="%1.%2.%3.%4.%5.%6.%7.%8"/>
      <w:lvlJc w:val="left"/>
      <w:pPr>
        <w:ind w:left="910" w:firstLine="431"/>
      </w:pPr>
      <w:rPr>
        <w:rFonts w:hint="eastAsia"/>
      </w:rPr>
    </w:lvl>
    <w:lvl w:ilvl="8" w:tentative="0">
      <w:start w:val="1"/>
      <w:numFmt w:val="decimal"/>
      <w:pStyle w:val="10"/>
      <w:lvlText w:val="%1.%2.%3.%4.%5.%6.%7.%8.%9"/>
      <w:lvlJc w:val="left"/>
      <w:pPr>
        <w:ind w:left="1040" w:firstLine="431"/>
      </w:pPr>
      <w:rPr>
        <w:rFonts w:hint="eastAsia"/>
      </w:rPr>
    </w:lvl>
  </w:abstractNum>
  <w:abstractNum w:abstractNumId="5">
    <w:nsid w:val="BE492315"/>
    <w:multiLevelType w:val="singleLevel"/>
    <w:tmpl w:val="BE492315"/>
    <w:lvl w:ilvl="0" w:tentative="0">
      <w:start w:val="1"/>
      <w:numFmt w:val="chineseCounting"/>
      <w:suff w:val="nothing"/>
      <w:lvlText w:val="（%1）"/>
      <w:lvlJc w:val="left"/>
      <w:pPr>
        <w:ind w:left="0" w:firstLine="420"/>
      </w:pPr>
      <w:rPr>
        <w:rFonts w:hint="eastAsia" w:ascii="仿宋_GB2312" w:hAnsi="仿宋_GB2312" w:eastAsia="仿宋_GB2312" w:cs="仿宋_GB2312"/>
        <w:sz w:val="32"/>
        <w:szCs w:val="32"/>
      </w:rPr>
    </w:lvl>
  </w:abstractNum>
  <w:abstractNum w:abstractNumId="6">
    <w:nsid w:val="D0C124E5"/>
    <w:multiLevelType w:val="singleLevel"/>
    <w:tmpl w:val="D0C124E5"/>
    <w:lvl w:ilvl="0" w:tentative="0">
      <w:start w:val="1"/>
      <w:numFmt w:val="chineseCounting"/>
      <w:suff w:val="nothing"/>
      <w:lvlText w:val="（%1）"/>
      <w:lvlJc w:val="left"/>
      <w:rPr>
        <w:rFonts w:hint="eastAsia"/>
      </w:rPr>
    </w:lvl>
  </w:abstractNum>
  <w:abstractNum w:abstractNumId="7">
    <w:nsid w:val="E382C35E"/>
    <w:multiLevelType w:val="singleLevel"/>
    <w:tmpl w:val="E382C35E"/>
    <w:lvl w:ilvl="0" w:tentative="0">
      <w:start w:val="1"/>
      <w:numFmt w:val="chineseCounting"/>
      <w:suff w:val="nothing"/>
      <w:lvlText w:val="（%1）"/>
      <w:lvlJc w:val="left"/>
      <w:pPr>
        <w:ind w:left="0" w:firstLine="420"/>
      </w:pPr>
      <w:rPr>
        <w:rFonts w:hint="eastAsia" w:ascii="仿宋_GB2312" w:hAnsi="仿宋_GB2312" w:eastAsia="仿宋_GB2312" w:cs="仿宋_GB2312"/>
        <w:sz w:val="32"/>
        <w:szCs w:val="32"/>
      </w:rPr>
    </w:lvl>
  </w:abstractNum>
  <w:abstractNum w:abstractNumId="8">
    <w:nsid w:val="FEDD9F7F"/>
    <w:multiLevelType w:val="singleLevel"/>
    <w:tmpl w:val="FEDD9F7F"/>
    <w:lvl w:ilvl="0" w:tentative="0">
      <w:start w:val="1"/>
      <w:numFmt w:val="chineseCounting"/>
      <w:suff w:val="nothing"/>
      <w:lvlText w:val="（%1）"/>
      <w:lvlJc w:val="left"/>
      <w:pPr>
        <w:ind w:left="0" w:firstLine="420"/>
      </w:pPr>
      <w:rPr>
        <w:rFonts w:hint="eastAsia" w:ascii="仿宋_GB2312" w:hAnsi="仿宋_GB2312" w:eastAsia="仿宋_GB2312" w:cs="仿宋_GB2312"/>
        <w:sz w:val="32"/>
        <w:szCs w:val="32"/>
      </w:rPr>
    </w:lvl>
  </w:abstractNum>
  <w:abstractNum w:abstractNumId="9">
    <w:nsid w:val="00000009"/>
    <w:multiLevelType w:val="multilevel"/>
    <w:tmpl w:val="00000009"/>
    <w:lvl w:ilvl="0" w:tentative="0">
      <w:start w:val="1"/>
      <w:numFmt w:val="chineseCountingThousand"/>
      <w:pStyle w:val="23"/>
      <w:suff w:val="space"/>
      <w:lvlText w:val="第%1章"/>
      <w:lvlJc w:val="left"/>
      <w:pPr>
        <w:ind w:left="0" w:firstLine="454"/>
      </w:pPr>
      <w:rPr>
        <w:rFonts w:hint="eastAsia" w:eastAsia="方正黑体_GBK"/>
        <w:color w:val="auto"/>
      </w:rPr>
    </w:lvl>
    <w:lvl w:ilvl="1" w:tentative="0">
      <w:start w:val="1"/>
      <w:numFmt w:val="chineseCountingThousand"/>
      <w:suff w:val="space"/>
      <w:lvlText w:val="第%2条"/>
      <w:lvlJc w:val="left"/>
      <w:pPr>
        <w:ind w:left="0" w:firstLine="0"/>
      </w:pPr>
      <w:rPr>
        <w:rFonts w:hint="eastAsia" w:eastAsia="方正黑体_GBK"/>
        <w:color w:val="auto"/>
      </w:rPr>
    </w:lvl>
    <w:lvl w:ilvl="2" w:tentative="0">
      <w:start w:val="1"/>
      <w:numFmt w:val="chineseCountingThousand"/>
      <w:suff w:val="space"/>
      <w:lvlText w:val="第%3条"/>
      <w:lvlJc w:val="left"/>
      <w:pPr>
        <w:ind w:left="0" w:firstLine="454"/>
      </w:pPr>
      <w:rPr>
        <w:rFonts w:hint="eastAsia"/>
        <w:color w:val="auto"/>
      </w:rPr>
    </w:lvl>
    <w:lvl w:ilvl="3" w:tentative="0">
      <w:start w:val="1"/>
      <w:numFmt w:val="chineseCountingThousand"/>
      <w:suff w:val="space"/>
      <w:lvlText w:val="（%4）"/>
      <w:lvlJc w:val="left"/>
      <w:pPr>
        <w:ind w:left="0" w:firstLine="340"/>
      </w:pPr>
      <w:rPr>
        <w:rFonts w:hint="eastAsia"/>
        <w:color w:val="auto"/>
      </w:rPr>
    </w:lvl>
    <w:lvl w:ilvl="4" w:tentative="0">
      <w:start w:val="1"/>
      <w:numFmt w:val="decimal"/>
      <w:suff w:val="space"/>
      <w:lvlText w:val="%5．"/>
      <w:lvlJc w:val="left"/>
      <w:pPr>
        <w:ind w:left="0" w:firstLine="454"/>
      </w:pPr>
      <w:rPr>
        <w:rFonts w:hint="eastAsia"/>
        <w:color w:val="auto"/>
      </w:rPr>
    </w:lvl>
    <w:lvl w:ilvl="5" w:tentative="0">
      <w:start w:val="1"/>
      <w:numFmt w:val="decimal"/>
      <w:suff w:val="space"/>
      <w:lvlText w:val="（%6）"/>
      <w:lvlJc w:val="left"/>
      <w:pPr>
        <w:ind w:left="0" w:firstLine="340"/>
      </w:pPr>
      <w:rPr>
        <w:rFonts w:hint="eastAsia"/>
        <w:color w:val="auto"/>
      </w:rPr>
    </w:lvl>
    <w:lvl w:ilvl="6" w:tentative="0">
      <w:start w:val="1"/>
      <w:numFmt w:val="decimalEnclosedCircle"/>
      <w:suff w:val="space"/>
      <w:lvlText w:val="%7 "/>
      <w:lvlJc w:val="left"/>
      <w:pPr>
        <w:ind w:left="0" w:firstLine="454"/>
      </w:pPr>
      <w:rPr>
        <w:rFonts w:hint="eastAsia"/>
        <w:color w:val="auto"/>
      </w:rPr>
    </w:lvl>
    <w:lvl w:ilvl="7" w:tentative="0">
      <w:start w:val="1"/>
      <w:numFmt w:val="decimal"/>
      <w:suff w:val="space"/>
      <w:lvlText w:val="%8）"/>
      <w:lvlJc w:val="left"/>
      <w:pPr>
        <w:ind w:left="0" w:firstLine="454"/>
      </w:pPr>
      <w:rPr>
        <w:rFonts w:hint="eastAsia"/>
        <w:color w:val="auto"/>
      </w:rPr>
    </w:lvl>
    <w:lvl w:ilvl="8" w:tentative="0">
      <w:start w:val="1"/>
      <w:numFmt w:val="none"/>
      <w:suff w:val="space"/>
      <w:lvlText w:val="a．"/>
      <w:lvlJc w:val="left"/>
      <w:pPr>
        <w:ind w:left="0" w:firstLine="454"/>
      </w:pPr>
      <w:rPr>
        <w:rFonts w:hint="eastAsia"/>
        <w:color w:val="auto"/>
      </w:rPr>
    </w:lvl>
  </w:abstractNum>
  <w:abstractNum w:abstractNumId="10">
    <w:nsid w:val="2258304E"/>
    <w:multiLevelType w:val="singleLevel"/>
    <w:tmpl w:val="2258304E"/>
    <w:lvl w:ilvl="0" w:tentative="0">
      <w:start w:val="1"/>
      <w:numFmt w:val="chineseCounting"/>
      <w:suff w:val="nothing"/>
      <w:lvlText w:val="（%1）"/>
      <w:lvlJc w:val="left"/>
      <w:pPr>
        <w:ind w:left="0" w:firstLine="420"/>
      </w:pPr>
      <w:rPr>
        <w:rFonts w:hint="eastAsia" w:ascii="仿宋_GB2312" w:hAnsi="仿宋_GB2312" w:eastAsia="仿宋_GB2312" w:cs="仿宋_GB2312"/>
        <w:sz w:val="32"/>
        <w:szCs w:val="32"/>
      </w:rPr>
    </w:lvl>
  </w:abstractNum>
  <w:abstractNum w:abstractNumId="11">
    <w:nsid w:val="257C33A3"/>
    <w:multiLevelType w:val="multilevel"/>
    <w:tmpl w:val="257C33A3"/>
    <w:lvl w:ilvl="0" w:tentative="0">
      <w:start w:val="1"/>
      <w:numFmt w:val="japaneseCounting"/>
      <w:lvlText w:val="第%1节"/>
      <w:lvlJc w:val="left"/>
      <w:pPr>
        <w:ind w:left="1125" w:hanging="1125"/>
      </w:pPr>
      <w:rPr>
        <w:rFonts w:hint="eastAsia" w:ascii="仿宋_GB2312" w:hAnsi="仿宋_GB2312" w:eastAsia="仿宋_GB2312" w:cs="仿宋_GB2312"/>
        <w:b/>
        <w:bCs/>
        <w:sz w:val="32"/>
        <w:szCs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31D333EF"/>
    <w:multiLevelType w:val="multilevel"/>
    <w:tmpl w:val="31D333EF"/>
    <w:lvl w:ilvl="0" w:tentative="0">
      <w:start w:val="1"/>
      <w:numFmt w:val="japaneseCounting"/>
      <w:lvlText w:val="第%1节"/>
      <w:lvlJc w:val="left"/>
      <w:pPr>
        <w:ind w:left="1976" w:hanging="1125"/>
      </w:pPr>
      <w:rPr>
        <w:rFonts w:hint="eastAsia" w:ascii="仿宋_GB2312" w:hAnsi="仿宋_GB2312" w:eastAsia="仿宋_GB2312" w:cs="仿宋_GB2312"/>
        <w:sz w:val="32"/>
        <w:szCs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3A51745B"/>
    <w:multiLevelType w:val="multilevel"/>
    <w:tmpl w:val="3A51745B"/>
    <w:lvl w:ilvl="0" w:tentative="0">
      <w:start w:val="1"/>
      <w:numFmt w:val="japaneseCounting"/>
      <w:lvlText w:val="第%1章"/>
      <w:lvlJc w:val="left"/>
      <w:pPr>
        <w:ind w:left="4961" w:hanging="1275"/>
      </w:pPr>
      <w:rPr>
        <w:rFonts w:hint="eastAsia" w:ascii="黑体" w:hAnsi="黑体" w:eastAsia="黑体" w:cs="黑体"/>
        <w:sz w:val="32"/>
        <w:szCs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423AFA83"/>
    <w:multiLevelType w:val="singleLevel"/>
    <w:tmpl w:val="423AFA83"/>
    <w:lvl w:ilvl="0" w:tentative="0">
      <w:start w:val="1"/>
      <w:numFmt w:val="chineseCounting"/>
      <w:suff w:val="nothing"/>
      <w:lvlText w:val="（%1）"/>
      <w:lvlJc w:val="left"/>
      <w:pPr>
        <w:ind w:left="8" w:firstLine="420"/>
      </w:pPr>
      <w:rPr>
        <w:rFonts w:hint="eastAsia" w:ascii="仿宋_GB2312" w:hAnsi="仿宋_GB2312" w:eastAsia="仿宋_GB2312" w:cs="仿宋_GB2312"/>
        <w:sz w:val="32"/>
        <w:szCs w:val="32"/>
      </w:rPr>
    </w:lvl>
  </w:abstractNum>
  <w:abstractNum w:abstractNumId="15">
    <w:nsid w:val="449FC2F3"/>
    <w:multiLevelType w:val="singleLevel"/>
    <w:tmpl w:val="449FC2F3"/>
    <w:lvl w:ilvl="0" w:tentative="0">
      <w:start w:val="1"/>
      <w:numFmt w:val="chineseCounting"/>
      <w:suff w:val="nothing"/>
      <w:lvlText w:val="（%1）"/>
      <w:lvlJc w:val="left"/>
      <w:pPr>
        <w:ind w:left="0" w:firstLine="420"/>
      </w:pPr>
      <w:rPr>
        <w:rFonts w:hint="eastAsia" w:ascii="仿宋_GB2312" w:hAnsi="仿宋_GB2312" w:eastAsia="仿宋_GB2312" w:cs="仿宋_GB2312"/>
        <w:sz w:val="32"/>
        <w:szCs w:val="32"/>
      </w:rPr>
    </w:lvl>
  </w:abstractNum>
  <w:abstractNum w:abstractNumId="16">
    <w:nsid w:val="4A969905"/>
    <w:multiLevelType w:val="singleLevel"/>
    <w:tmpl w:val="4A969905"/>
    <w:lvl w:ilvl="0" w:tentative="0">
      <w:start w:val="1"/>
      <w:numFmt w:val="chineseCounting"/>
      <w:suff w:val="nothing"/>
      <w:lvlText w:val="（%1）"/>
      <w:lvlJc w:val="left"/>
      <w:pPr>
        <w:ind w:left="0" w:firstLine="420"/>
      </w:pPr>
      <w:rPr>
        <w:rFonts w:hint="eastAsia" w:ascii="仿宋_GB2312" w:hAnsi="仿宋_GB2312" w:eastAsia="仿宋_GB2312" w:cs="仿宋_GB2312"/>
        <w:sz w:val="32"/>
        <w:szCs w:val="32"/>
      </w:rPr>
    </w:lvl>
  </w:abstractNum>
  <w:abstractNum w:abstractNumId="17">
    <w:nsid w:val="4F524512"/>
    <w:multiLevelType w:val="multilevel"/>
    <w:tmpl w:val="4F524512"/>
    <w:lvl w:ilvl="0" w:tentative="0">
      <w:start w:val="1"/>
      <w:numFmt w:val="chineseCountingThousand"/>
      <w:lvlText w:val="第%1条"/>
      <w:lvlJc w:val="left"/>
      <w:pPr>
        <w:ind w:left="2264" w:hanging="420"/>
      </w:pPr>
      <w:rPr>
        <w:rFonts w:hint="eastAsia" w:ascii="仿宋_GB2312" w:hAnsi="仿宋_GB2312" w:eastAsia="仿宋_GB2312" w:cs="仿宋_GB2312"/>
        <w:b/>
        <w:bCs/>
        <w:sz w:val="32"/>
        <w:szCs w:val="32"/>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5139CD07"/>
    <w:multiLevelType w:val="singleLevel"/>
    <w:tmpl w:val="5139CD07"/>
    <w:lvl w:ilvl="0" w:tentative="0">
      <w:start w:val="1"/>
      <w:numFmt w:val="chineseCounting"/>
      <w:suff w:val="nothing"/>
      <w:lvlText w:val="（%1）"/>
      <w:lvlJc w:val="left"/>
      <w:pPr>
        <w:ind w:left="0" w:firstLine="420"/>
      </w:pPr>
      <w:rPr>
        <w:rFonts w:hint="eastAsia" w:ascii="仿宋_GB2312" w:hAnsi="仿宋_GB2312" w:eastAsia="仿宋_GB2312" w:cs="仿宋_GB2312"/>
        <w:sz w:val="32"/>
        <w:szCs w:val="32"/>
      </w:rPr>
    </w:lvl>
  </w:abstractNum>
  <w:abstractNum w:abstractNumId="19">
    <w:nsid w:val="59D53AB9"/>
    <w:multiLevelType w:val="singleLevel"/>
    <w:tmpl w:val="59D53AB9"/>
    <w:lvl w:ilvl="0" w:tentative="0">
      <w:start w:val="1"/>
      <w:numFmt w:val="chineseCounting"/>
      <w:suff w:val="nothing"/>
      <w:lvlText w:val="（%1）"/>
      <w:lvlJc w:val="left"/>
      <w:pPr>
        <w:ind w:left="0" w:firstLine="420"/>
      </w:pPr>
      <w:rPr>
        <w:rFonts w:hint="eastAsia" w:ascii="仿宋_GB2312" w:hAnsi="仿宋_GB2312" w:eastAsia="仿宋_GB2312" w:cs="仿宋_GB2312"/>
        <w:sz w:val="32"/>
        <w:szCs w:val="32"/>
      </w:rPr>
    </w:lvl>
  </w:abstractNum>
  <w:abstractNum w:abstractNumId="20">
    <w:nsid w:val="5A775538"/>
    <w:multiLevelType w:val="multilevel"/>
    <w:tmpl w:val="5A775538"/>
    <w:lvl w:ilvl="0" w:tentative="0">
      <w:start w:val="1"/>
      <w:numFmt w:val="japaneseCounting"/>
      <w:lvlText w:val="第%1节"/>
      <w:lvlJc w:val="left"/>
      <w:pPr>
        <w:ind w:left="1125" w:hanging="1125"/>
      </w:pPr>
      <w:rPr>
        <w:rFonts w:hint="eastAsia"/>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6222A7F2"/>
    <w:multiLevelType w:val="singleLevel"/>
    <w:tmpl w:val="6222A7F2"/>
    <w:lvl w:ilvl="0" w:tentative="0">
      <w:start w:val="1"/>
      <w:numFmt w:val="chineseCounting"/>
      <w:suff w:val="nothing"/>
      <w:lvlText w:val="（%1）"/>
      <w:lvlJc w:val="left"/>
      <w:pPr>
        <w:ind w:left="0" w:firstLine="420"/>
      </w:pPr>
      <w:rPr>
        <w:rFonts w:hint="eastAsia" w:ascii="仿宋_GB2312" w:hAnsi="仿宋_GB2312" w:eastAsia="仿宋_GB2312" w:cs="仿宋_GB2312"/>
        <w:sz w:val="32"/>
        <w:szCs w:val="32"/>
      </w:rPr>
    </w:lvl>
  </w:abstractNum>
  <w:abstractNum w:abstractNumId="22">
    <w:nsid w:val="7605EFF5"/>
    <w:multiLevelType w:val="singleLevel"/>
    <w:tmpl w:val="7605EFF5"/>
    <w:lvl w:ilvl="0" w:tentative="0">
      <w:start w:val="1"/>
      <w:numFmt w:val="chineseCounting"/>
      <w:suff w:val="nothing"/>
      <w:lvlText w:val="（%1）"/>
      <w:lvlJc w:val="left"/>
      <w:pPr>
        <w:ind w:left="0" w:firstLine="420"/>
      </w:pPr>
      <w:rPr>
        <w:rFonts w:hint="eastAsia" w:ascii="仿宋_GB2312" w:hAnsi="仿宋_GB2312" w:eastAsia="仿宋_GB2312" w:cs="仿宋_GB2312"/>
        <w:sz w:val="32"/>
        <w:szCs w:val="32"/>
      </w:rPr>
    </w:lvl>
  </w:abstractNum>
  <w:abstractNum w:abstractNumId="23">
    <w:nsid w:val="7AAA579B"/>
    <w:multiLevelType w:val="singleLevel"/>
    <w:tmpl w:val="7AAA579B"/>
    <w:lvl w:ilvl="0" w:tentative="0">
      <w:start w:val="1"/>
      <w:numFmt w:val="chineseCounting"/>
      <w:suff w:val="nothing"/>
      <w:lvlText w:val="（%1）"/>
      <w:lvlJc w:val="left"/>
      <w:pPr>
        <w:ind w:left="0" w:firstLine="420"/>
      </w:pPr>
      <w:rPr>
        <w:rFonts w:hint="eastAsia" w:ascii="仿宋_GB2312" w:hAnsi="仿宋_GB2312" w:eastAsia="仿宋_GB2312" w:cs="仿宋_GB2312"/>
        <w:sz w:val="32"/>
        <w:szCs w:val="32"/>
      </w:rPr>
    </w:lvl>
  </w:abstractNum>
  <w:num w:numId="1">
    <w:abstractNumId w:val="4"/>
  </w:num>
  <w:num w:numId="2">
    <w:abstractNumId w:val="9"/>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0"/>
  </w:num>
  <w:num w:numId="8">
    <w:abstractNumId w:val="18"/>
  </w:num>
  <w:num w:numId="9">
    <w:abstractNumId w:val="0"/>
  </w:num>
  <w:num w:numId="10">
    <w:abstractNumId w:val="7"/>
  </w:num>
  <w:num w:numId="11">
    <w:abstractNumId w:val="14"/>
  </w:num>
  <w:num w:numId="12">
    <w:abstractNumId w:val="16"/>
  </w:num>
  <w:num w:numId="13">
    <w:abstractNumId w:val="6"/>
  </w:num>
  <w:num w:numId="14">
    <w:abstractNumId w:val="15"/>
  </w:num>
  <w:num w:numId="15">
    <w:abstractNumId w:val="21"/>
  </w:num>
  <w:num w:numId="16">
    <w:abstractNumId w:val="19"/>
  </w:num>
  <w:num w:numId="17">
    <w:abstractNumId w:val="5"/>
  </w:num>
  <w:num w:numId="18">
    <w:abstractNumId w:val="2"/>
  </w:num>
  <w:num w:numId="19">
    <w:abstractNumId w:val="3"/>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8"/>
  </w:num>
  <w:num w:numId="24">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戴洁芬">
    <w15:presenceInfo w15:providerId="None" w15:userId="戴洁芬"/>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evenAndOddHeaders w:val="1"/>
  <w:drawingGridHorizontalSpacing w:val="308"/>
  <w:drawingGridVerticalSpacing w:val="290"/>
  <w:displayHorizontalDrawingGridEvery w:val="0"/>
  <w:displayVerticalDrawingGridEvery w:val="2"/>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1NjExZTg4YjJjZjIxMjMzODVjMmY5YzQ1NWNlYmIifQ=="/>
    <w:docVar w:name="iDocStyle" w:val="2"/>
  </w:docVars>
  <w:rsids>
    <w:rsidRoot w:val="509D5B52"/>
    <w:rsid w:val="001144C4"/>
    <w:rsid w:val="00144FDE"/>
    <w:rsid w:val="0070161E"/>
    <w:rsid w:val="00B568EE"/>
    <w:rsid w:val="00EC0780"/>
    <w:rsid w:val="00F514E8"/>
    <w:rsid w:val="011D6E97"/>
    <w:rsid w:val="01E24D3D"/>
    <w:rsid w:val="02AA70E0"/>
    <w:rsid w:val="03995A78"/>
    <w:rsid w:val="03F20308"/>
    <w:rsid w:val="040E0A2D"/>
    <w:rsid w:val="044A312E"/>
    <w:rsid w:val="04D77485"/>
    <w:rsid w:val="04FF203E"/>
    <w:rsid w:val="0529380C"/>
    <w:rsid w:val="05881EF1"/>
    <w:rsid w:val="07B02B91"/>
    <w:rsid w:val="07D21D7A"/>
    <w:rsid w:val="07F3020E"/>
    <w:rsid w:val="083E7612"/>
    <w:rsid w:val="084A25AF"/>
    <w:rsid w:val="09DD2AC5"/>
    <w:rsid w:val="0ACB4C42"/>
    <w:rsid w:val="0B0E6FE2"/>
    <w:rsid w:val="0B100735"/>
    <w:rsid w:val="0B6D23B6"/>
    <w:rsid w:val="0BBF2358"/>
    <w:rsid w:val="0CFE08BE"/>
    <w:rsid w:val="0D12337E"/>
    <w:rsid w:val="0E5D33A0"/>
    <w:rsid w:val="0E8841E4"/>
    <w:rsid w:val="0FAF13F1"/>
    <w:rsid w:val="10A65556"/>
    <w:rsid w:val="10C01B47"/>
    <w:rsid w:val="10C66A5B"/>
    <w:rsid w:val="1162178E"/>
    <w:rsid w:val="118925D3"/>
    <w:rsid w:val="131751BA"/>
    <w:rsid w:val="133F795A"/>
    <w:rsid w:val="136C60EA"/>
    <w:rsid w:val="140D7B69"/>
    <w:rsid w:val="146F6B23"/>
    <w:rsid w:val="16B36D4D"/>
    <w:rsid w:val="1781069F"/>
    <w:rsid w:val="179F7C4F"/>
    <w:rsid w:val="17DB2059"/>
    <w:rsid w:val="181E1C81"/>
    <w:rsid w:val="18344999"/>
    <w:rsid w:val="18A43C7A"/>
    <w:rsid w:val="1A126F1F"/>
    <w:rsid w:val="1A2E6BC6"/>
    <w:rsid w:val="1A8358AB"/>
    <w:rsid w:val="1A8D4407"/>
    <w:rsid w:val="1AD52AF2"/>
    <w:rsid w:val="1B4E7F5F"/>
    <w:rsid w:val="1B7A37A3"/>
    <w:rsid w:val="1CAC7B6B"/>
    <w:rsid w:val="1DAE4172"/>
    <w:rsid w:val="1DBF4AA5"/>
    <w:rsid w:val="1DE607BD"/>
    <w:rsid w:val="1E1B49AA"/>
    <w:rsid w:val="1E645BFE"/>
    <w:rsid w:val="1E855C5B"/>
    <w:rsid w:val="1EB83BF5"/>
    <w:rsid w:val="1F3919E3"/>
    <w:rsid w:val="1F4D1EEA"/>
    <w:rsid w:val="1FED3639"/>
    <w:rsid w:val="20981193"/>
    <w:rsid w:val="217B7496"/>
    <w:rsid w:val="228A06B6"/>
    <w:rsid w:val="23214979"/>
    <w:rsid w:val="23686A00"/>
    <w:rsid w:val="240176EB"/>
    <w:rsid w:val="240F7F39"/>
    <w:rsid w:val="24206884"/>
    <w:rsid w:val="243C3431"/>
    <w:rsid w:val="26087785"/>
    <w:rsid w:val="26287BEF"/>
    <w:rsid w:val="263343BB"/>
    <w:rsid w:val="275209AB"/>
    <w:rsid w:val="279007D6"/>
    <w:rsid w:val="27EC43A1"/>
    <w:rsid w:val="28E00B4F"/>
    <w:rsid w:val="29236FD0"/>
    <w:rsid w:val="292E501E"/>
    <w:rsid w:val="2A7121B2"/>
    <w:rsid w:val="2AC5166B"/>
    <w:rsid w:val="2D5126B9"/>
    <w:rsid w:val="2DC95422"/>
    <w:rsid w:val="2F6A6D92"/>
    <w:rsid w:val="2F76708F"/>
    <w:rsid w:val="300D713B"/>
    <w:rsid w:val="301B2C43"/>
    <w:rsid w:val="30391EE2"/>
    <w:rsid w:val="30556BC8"/>
    <w:rsid w:val="314C0871"/>
    <w:rsid w:val="31E36604"/>
    <w:rsid w:val="324A4F10"/>
    <w:rsid w:val="326C0F15"/>
    <w:rsid w:val="32943683"/>
    <w:rsid w:val="329441B0"/>
    <w:rsid w:val="32A92D2C"/>
    <w:rsid w:val="32BF02C5"/>
    <w:rsid w:val="330A2C48"/>
    <w:rsid w:val="338D5F65"/>
    <w:rsid w:val="33E53C76"/>
    <w:rsid w:val="34165BF6"/>
    <w:rsid w:val="345B0173"/>
    <w:rsid w:val="34626C83"/>
    <w:rsid w:val="34804EEC"/>
    <w:rsid w:val="34873FB7"/>
    <w:rsid w:val="34C865A9"/>
    <w:rsid w:val="353969B7"/>
    <w:rsid w:val="35714139"/>
    <w:rsid w:val="35B93933"/>
    <w:rsid w:val="36674D7B"/>
    <w:rsid w:val="366A1BAD"/>
    <w:rsid w:val="367069AE"/>
    <w:rsid w:val="38040D9B"/>
    <w:rsid w:val="3817023E"/>
    <w:rsid w:val="38586D15"/>
    <w:rsid w:val="3CF13071"/>
    <w:rsid w:val="3D263840"/>
    <w:rsid w:val="3E2F3F92"/>
    <w:rsid w:val="3E2F5D43"/>
    <w:rsid w:val="3E470791"/>
    <w:rsid w:val="3E713B01"/>
    <w:rsid w:val="3E7A05BD"/>
    <w:rsid w:val="3EEB1F3C"/>
    <w:rsid w:val="3F736F9C"/>
    <w:rsid w:val="3FD17778"/>
    <w:rsid w:val="407374A6"/>
    <w:rsid w:val="41C05E86"/>
    <w:rsid w:val="424905C4"/>
    <w:rsid w:val="425424E3"/>
    <w:rsid w:val="42C4601A"/>
    <w:rsid w:val="45456B8E"/>
    <w:rsid w:val="45E22945"/>
    <w:rsid w:val="461A5778"/>
    <w:rsid w:val="465B6AFA"/>
    <w:rsid w:val="46D44F7D"/>
    <w:rsid w:val="47371E1B"/>
    <w:rsid w:val="474F1347"/>
    <w:rsid w:val="47F5469D"/>
    <w:rsid w:val="48205263"/>
    <w:rsid w:val="48DF4AF8"/>
    <w:rsid w:val="49C26D8E"/>
    <w:rsid w:val="4A02630A"/>
    <w:rsid w:val="4A581909"/>
    <w:rsid w:val="4B7D188B"/>
    <w:rsid w:val="4BCA7EF6"/>
    <w:rsid w:val="4CAF00D0"/>
    <w:rsid w:val="4CB17A72"/>
    <w:rsid w:val="4D131782"/>
    <w:rsid w:val="4E4E7F1B"/>
    <w:rsid w:val="4E7A6F96"/>
    <w:rsid w:val="4EF16AA0"/>
    <w:rsid w:val="4EFBA093"/>
    <w:rsid w:val="4F4D170C"/>
    <w:rsid w:val="4F59138D"/>
    <w:rsid w:val="509D5B52"/>
    <w:rsid w:val="519F1876"/>
    <w:rsid w:val="52B31373"/>
    <w:rsid w:val="530D52D0"/>
    <w:rsid w:val="532042F0"/>
    <w:rsid w:val="537D8657"/>
    <w:rsid w:val="539D0640"/>
    <w:rsid w:val="54F60E6A"/>
    <w:rsid w:val="578E387D"/>
    <w:rsid w:val="58064DF9"/>
    <w:rsid w:val="58363AB5"/>
    <w:rsid w:val="58924A53"/>
    <w:rsid w:val="59B53B2B"/>
    <w:rsid w:val="5A714059"/>
    <w:rsid w:val="5B073DE6"/>
    <w:rsid w:val="5B6246E2"/>
    <w:rsid w:val="5B6C3B0B"/>
    <w:rsid w:val="5C99106D"/>
    <w:rsid w:val="5CC1262E"/>
    <w:rsid w:val="5D3C4582"/>
    <w:rsid w:val="5D7614C0"/>
    <w:rsid w:val="5DBB3FE9"/>
    <w:rsid w:val="5DCD4B91"/>
    <w:rsid w:val="5E6B5F64"/>
    <w:rsid w:val="5E7D6C7C"/>
    <w:rsid w:val="5EBF3F02"/>
    <w:rsid w:val="5F3B036A"/>
    <w:rsid w:val="5F556990"/>
    <w:rsid w:val="5FCE083C"/>
    <w:rsid w:val="5FF79C45"/>
    <w:rsid w:val="603A4953"/>
    <w:rsid w:val="604306E0"/>
    <w:rsid w:val="608B07AA"/>
    <w:rsid w:val="61A76A6F"/>
    <w:rsid w:val="61B46507"/>
    <w:rsid w:val="61BA1FF4"/>
    <w:rsid w:val="622318AF"/>
    <w:rsid w:val="627D125B"/>
    <w:rsid w:val="632A3BC2"/>
    <w:rsid w:val="63520F37"/>
    <w:rsid w:val="6375190D"/>
    <w:rsid w:val="64BF60D6"/>
    <w:rsid w:val="66763229"/>
    <w:rsid w:val="66950239"/>
    <w:rsid w:val="66CE16B9"/>
    <w:rsid w:val="68BF65E6"/>
    <w:rsid w:val="68C3763B"/>
    <w:rsid w:val="69147375"/>
    <w:rsid w:val="692F59A0"/>
    <w:rsid w:val="69B226F6"/>
    <w:rsid w:val="69E379BA"/>
    <w:rsid w:val="6A170E26"/>
    <w:rsid w:val="6A63339C"/>
    <w:rsid w:val="6B7F5B96"/>
    <w:rsid w:val="6B9237C7"/>
    <w:rsid w:val="6CBB00EF"/>
    <w:rsid w:val="6D7A6D06"/>
    <w:rsid w:val="6DDF7723"/>
    <w:rsid w:val="6E711D3F"/>
    <w:rsid w:val="6E930F13"/>
    <w:rsid w:val="6EA45410"/>
    <w:rsid w:val="6EAC1C64"/>
    <w:rsid w:val="6F6B1899"/>
    <w:rsid w:val="6FA6433B"/>
    <w:rsid w:val="6FFFC55B"/>
    <w:rsid w:val="70B33CD6"/>
    <w:rsid w:val="71177400"/>
    <w:rsid w:val="724F4888"/>
    <w:rsid w:val="72581325"/>
    <w:rsid w:val="732A089E"/>
    <w:rsid w:val="74D95FC3"/>
    <w:rsid w:val="74EB5A3B"/>
    <w:rsid w:val="74F60CF4"/>
    <w:rsid w:val="74F95ADA"/>
    <w:rsid w:val="75697C48"/>
    <w:rsid w:val="75E0057B"/>
    <w:rsid w:val="76573895"/>
    <w:rsid w:val="76910A96"/>
    <w:rsid w:val="76CE2958"/>
    <w:rsid w:val="76E802EB"/>
    <w:rsid w:val="772E3E17"/>
    <w:rsid w:val="78293DDC"/>
    <w:rsid w:val="78A36504"/>
    <w:rsid w:val="7AA31CB1"/>
    <w:rsid w:val="7B8D453C"/>
    <w:rsid w:val="7BAA5A20"/>
    <w:rsid w:val="7BD7548C"/>
    <w:rsid w:val="7BE57C80"/>
    <w:rsid w:val="7C033764"/>
    <w:rsid w:val="7C181D26"/>
    <w:rsid w:val="7C1F1186"/>
    <w:rsid w:val="7D12339E"/>
    <w:rsid w:val="7D5947FB"/>
    <w:rsid w:val="7DA527B2"/>
    <w:rsid w:val="7E471B9A"/>
    <w:rsid w:val="7FD61875"/>
    <w:rsid w:val="85BFC365"/>
    <w:rsid w:val="B7AFA734"/>
    <w:rsid w:val="CC9D8AB0"/>
    <w:rsid w:val="D6F7C807"/>
    <w:rsid w:val="E5DFD438"/>
    <w:rsid w:val="EC7F44A1"/>
    <w:rsid w:val="EFFE21F8"/>
    <w:rsid w:val="F4E70A8C"/>
    <w:rsid w:val="FBB8A66F"/>
    <w:rsid w:val="FFFFD5D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eastAsia="仿宋_GB2312"/>
      <w:spacing w:val="-6"/>
      <w:kern w:val="2"/>
      <w:sz w:val="32"/>
      <w:lang w:val="en-US" w:eastAsia="zh-CN" w:bidi="ar-SA"/>
    </w:rPr>
  </w:style>
  <w:style w:type="paragraph" w:styleId="2">
    <w:name w:val="heading 1"/>
    <w:basedOn w:val="1"/>
    <w:next w:val="1"/>
    <w:qFormat/>
    <w:uiPriority w:val="0"/>
    <w:pPr>
      <w:keepNext/>
      <w:keepLines/>
      <w:numPr>
        <w:ilvl w:val="0"/>
        <w:numId w:val="1"/>
      </w:numPr>
      <w:spacing w:before="340" w:beforeLines="0" w:beforeAutospacing="0" w:after="330" w:afterLines="0" w:afterAutospacing="0" w:line="576" w:lineRule="auto"/>
      <w:ind w:left="431" w:hanging="431"/>
      <w:outlineLvl w:val="0"/>
    </w:pPr>
    <w:rPr>
      <w:rFonts w:ascii="Calibri" w:hAnsi="Calibri" w:eastAsia="宋体" w:cs="Times New Roman"/>
      <w:b/>
      <w:spacing w:val="0"/>
      <w:kern w:val="44"/>
      <w:sz w:val="44"/>
      <w:szCs w:val="24"/>
    </w:rPr>
  </w:style>
  <w:style w:type="paragraph" w:styleId="3">
    <w:name w:val="heading 2"/>
    <w:basedOn w:val="1"/>
    <w:next w:val="1"/>
    <w:unhideWhenUsed/>
    <w:qFormat/>
    <w:uiPriority w:val="0"/>
    <w:pPr>
      <w:keepNext/>
      <w:keepLines/>
      <w:numPr>
        <w:ilvl w:val="1"/>
        <w:numId w:val="1"/>
      </w:numPr>
      <w:spacing w:before="260" w:beforeLines="0" w:beforeAutospacing="0" w:after="260" w:afterLines="0" w:afterAutospacing="0" w:line="413" w:lineRule="auto"/>
      <w:ind w:left="578" w:hanging="17"/>
      <w:outlineLvl w:val="1"/>
    </w:pPr>
    <w:rPr>
      <w:rFonts w:ascii="Arial" w:hAnsi="Arial" w:eastAsia="黑体" w:cs="Times New Roman"/>
      <w:b/>
      <w:spacing w:val="0"/>
      <w:sz w:val="32"/>
      <w:szCs w:val="24"/>
    </w:rPr>
  </w:style>
  <w:style w:type="paragraph" w:styleId="4">
    <w:name w:val="heading 3"/>
    <w:basedOn w:val="1"/>
    <w:next w:val="1"/>
    <w:unhideWhenUsed/>
    <w:qFormat/>
    <w:uiPriority w:val="0"/>
    <w:pPr>
      <w:keepNext/>
      <w:keepLines/>
      <w:numPr>
        <w:ilvl w:val="2"/>
        <w:numId w:val="1"/>
      </w:numPr>
      <w:spacing w:before="260" w:beforeLines="0" w:beforeAutospacing="0" w:after="260" w:afterLines="0" w:afterAutospacing="0" w:line="413" w:lineRule="auto"/>
      <w:ind w:left="29" w:hanging="29"/>
      <w:outlineLvl w:val="2"/>
    </w:pPr>
    <w:rPr>
      <w:rFonts w:ascii="Calibri" w:hAnsi="Calibri" w:eastAsia="宋体" w:cs="Times New Roman"/>
      <w:b/>
      <w:spacing w:val="0"/>
      <w:sz w:val="32"/>
      <w:szCs w:val="24"/>
    </w:rPr>
  </w:style>
  <w:style w:type="paragraph" w:styleId="5">
    <w:name w:val="heading 4"/>
    <w:basedOn w:val="1"/>
    <w:next w:val="1"/>
    <w:unhideWhenUsed/>
    <w:qFormat/>
    <w:uiPriority w:val="0"/>
    <w:pPr>
      <w:keepNext/>
      <w:keepLines/>
      <w:numPr>
        <w:ilvl w:val="3"/>
        <w:numId w:val="1"/>
      </w:numPr>
      <w:spacing w:before="280" w:beforeLines="0" w:beforeAutospacing="0" w:after="290" w:afterLines="0" w:afterAutospacing="0" w:line="372" w:lineRule="auto"/>
      <w:ind w:left="390" w:hanging="390"/>
      <w:outlineLvl w:val="3"/>
    </w:pPr>
    <w:rPr>
      <w:rFonts w:ascii="Arial" w:hAnsi="Arial" w:eastAsia="黑体" w:cs="Times New Roman"/>
      <w:b/>
      <w:spacing w:val="0"/>
      <w:sz w:val="28"/>
      <w:szCs w:val="24"/>
    </w:rPr>
  </w:style>
  <w:style w:type="paragraph" w:styleId="6">
    <w:name w:val="heading 5"/>
    <w:basedOn w:val="1"/>
    <w:next w:val="1"/>
    <w:unhideWhenUsed/>
    <w:qFormat/>
    <w:uiPriority w:val="0"/>
    <w:pPr>
      <w:keepNext/>
      <w:keepLines/>
      <w:numPr>
        <w:ilvl w:val="4"/>
        <w:numId w:val="1"/>
      </w:numPr>
      <w:spacing w:before="280" w:beforeLines="0" w:beforeAutospacing="0" w:after="290" w:afterLines="0" w:afterAutospacing="0" w:line="372" w:lineRule="auto"/>
      <w:ind w:left="520" w:hanging="520"/>
      <w:outlineLvl w:val="4"/>
    </w:pPr>
    <w:rPr>
      <w:rFonts w:ascii="Calibri" w:hAnsi="Calibri" w:eastAsia="宋体" w:cs="Times New Roman"/>
      <w:b/>
      <w:spacing w:val="0"/>
      <w:sz w:val="28"/>
      <w:szCs w:val="24"/>
    </w:rPr>
  </w:style>
  <w:style w:type="paragraph" w:styleId="7">
    <w:name w:val="heading 6"/>
    <w:basedOn w:val="1"/>
    <w:next w:val="1"/>
    <w:link w:val="19"/>
    <w:unhideWhenUsed/>
    <w:qFormat/>
    <w:uiPriority w:val="0"/>
    <w:pPr>
      <w:keepNext/>
      <w:keepLines/>
      <w:numPr>
        <w:ilvl w:val="5"/>
        <w:numId w:val="1"/>
      </w:numPr>
      <w:tabs>
        <w:tab w:val="left" w:pos="0"/>
      </w:tabs>
      <w:spacing w:after="64" w:line="317" w:lineRule="auto"/>
      <w:ind w:left="0" w:firstLine="562" w:firstLineChars="200"/>
      <w:outlineLvl w:val="5"/>
    </w:pPr>
    <w:rPr>
      <w:rFonts w:ascii="Times New Roman" w:hAnsi="Times New Roman" w:eastAsia="仿宋_GB2312" w:cs="Times New Roman"/>
      <w:b/>
      <w:spacing w:val="0"/>
      <w:sz w:val="28"/>
      <w:szCs w:val="24"/>
    </w:rPr>
  </w:style>
  <w:style w:type="paragraph" w:styleId="8">
    <w:name w:val="heading 7"/>
    <w:basedOn w:val="1"/>
    <w:next w:val="1"/>
    <w:unhideWhenUsed/>
    <w:qFormat/>
    <w:uiPriority w:val="0"/>
    <w:pPr>
      <w:keepNext/>
      <w:keepLines/>
      <w:numPr>
        <w:ilvl w:val="6"/>
        <w:numId w:val="1"/>
      </w:numPr>
      <w:spacing w:before="240" w:beforeLines="0" w:beforeAutospacing="0" w:after="64" w:afterLines="0" w:afterAutospacing="0" w:line="317" w:lineRule="auto"/>
      <w:ind w:left="780" w:firstLine="431"/>
      <w:outlineLvl w:val="6"/>
    </w:pPr>
    <w:rPr>
      <w:rFonts w:ascii="Calibri" w:hAnsi="Calibri" w:eastAsia="宋体" w:cs="Times New Roman"/>
      <w:b/>
      <w:spacing w:val="0"/>
      <w:sz w:val="24"/>
      <w:szCs w:val="24"/>
    </w:rPr>
  </w:style>
  <w:style w:type="paragraph" w:styleId="9">
    <w:name w:val="heading 8"/>
    <w:basedOn w:val="1"/>
    <w:next w:val="1"/>
    <w:unhideWhenUsed/>
    <w:qFormat/>
    <w:uiPriority w:val="0"/>
    <w:pPr>
      <w:keepNext/>
      <w:keepLines/>
      <w:numPr>
        <w:ilvl w:val="7"/>
        <w:numId w:val="1"/>
      </w:numPr>
      <w:spacing w:before="240" w:beforeLines="0" w:beforeAutospacing="0" w:after="64" w:afterLines="0" w:afterAutospacing="0" w:line="317" w:lineRule="auto"/>
      <w:ind w:left="910" w:firstLine="431"/>
      <w:outlineLvl w:val="7"/>
    </w:pPr>
    <w:rPr>
      <w:rFonts w:ascii="Arial" w:hAnsi="Arial" w:eastAsia="黑体" w:cs="Times New Roman"/>
      <w:spacing w:val="0"/>
      <w:sz w:val="24"/>
      <w:szCs w:val="24"/>
    </w:rPr>
  </w:style>
  <w:style w:type="paragraph" w:styleId="10">
    <w:name w:val="heading 9"/>
    <w:basedOn w:val="1"/>
    <w:next w:val="1"/>
    <w:unhideWhenUsed/>
    <w:qFormat/>
    <w:uiPriority w:val="0"/>
    <w:pPr>
      <w:keepNext/>
      <w:keepLines/>
      <w:numPr>
        <w:ilvl w:val="8"/>
        <w:numId w:val="1"/>
      </w:numPr>
      <w:spacing w:before="240" w:beforeLines="0" w:beforeAutospacing="0" w:after="64" w:afterLines="0" w:afterAutospacing="0" w:line="317" w:lineRule="auto"/>
      <w:ind w:left="1040" w:firstLine="431"/>
      <w:outlineLvl w:val="8"/>
    </w:pPr>
    <w:rPr>
      <w:rFonts w:ascii="Arial" w:hAnsi="Arial" w:eastAsia="黑体" w:cs="Times New Roman"/>
      <w:spacing w:val="0"/>
      <w:sz w:val="21"/>
      <w:szCs w:val="24"/>
    </w:rPr>
  </w:style>
  <w:style w:type="character" w:default="1" w:styleId="16">
    <w:name w:val="Default Paragraph Font"/>
    <w:semiHidden/>
    <w:qFormat/>
    <w:uiPriority w:val="0"/>
  </w:style>
  <w:style w:type="table" w:default="1" w:styleId="15">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Style w:val="15"/>
      <w:tblCellMar>
        <w:top w:w="0" w:type="dxa"/>
        <w:left w:w="108" w:type="dxa"/>
        <w:bottom w:w="0" w:type="dxa"/>
        <w:right w:w="108" w:type="dxa"/>
      </w:tblCellMar>
    </w:tblPr>
  </w:style>
  <w:style w:type="paragraph" w:styleId="11">
    <w:name w:val="annotation text"/>
    <w:basedOn w:val="1"/>
    <w:uiPriority w:val="0"/>
    <w:pPr>
      <w:jc w:val="left"/>
    </w:pPr>
  </w:style>
  <w:style w:type="paragraph" w:styleId="12">
    <w:name w:val="endnote text"/>
    <w:basedOn w:val="1"/>
    <w:link w:val="20"/>
    <w:uiPriority w:val="0"/>
    <w:pPr>
      <w:snapToGrid w:val="0"/>
      <w:jc w:val="left"/>
    </w:pPr>
  </w:style>
  <w:style w:type="paragraph" w:styleId="13">
    <w:name w:val="footer"/>
    <w:basedOn w:val="1"/>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14">
    <w:name w:val="header"/>
    <w:basedOn w:val="1"/>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character" w:styleId="17">
    <w:name w:val="page number"/>
    <w:basedOn w:val="16"/>
    <w:qFormat/>
    <w:uiPriority w:val="0"/>
  </w:style>
  <w:style w:type="character" w:styleId="18">
    <w:name w:val="line number"/>
    <w:basedOn w:val="16"/>
    <w:uiPriority w:val="0"/>
  </w:style>
  <w:style w:type="character" w:customStyle="1" w:styleId="19">
    <w:name w:val="标题 6 Char"/>
    <w:link w:val="7"/>
    <w:qFormat/>
    <w:uiPriority w:val="0"/>
    <w:rPr>
      <w:rFonts w:ascii="Times New Roman" w:hAnsi="Times New Roman" w:eastAsia="仿宋_GB2312" w:cs="Times New Roman"/>
      <w:b/>
      <w:sz w:val="28"/>
    </w:rPr>
  </w:style>
  <w:style w:type="character" w:customStyle="1" w:styleId="20">
    <w:name w:val="尾注文本 Char"/>
    <w:basedOn w:val="16"/>
    <w:link w:val="12"/>
    <w:uiPriority w:val="0"/>
    <w:rPr>
      <w:rFonts w:hint="eastAsia" w:ascii="仿宋_GB2312" w:eastAsia="仿宋_GB2312" w:cs="Times New Roman"/>
      <w:kern w:val="2"/>
      <w:sz w:val="24"/>
      <w:szCs w:val="24"/>
    </w:rPr>
  </w:style>
  <w:style w:type="character" w:customStyle="1" w:styleId="21">
    <w:name w:val="15"/>
    <w:basedOn w:val="16"/>
    <w:uiPriority w:val="0"/>
    <w:rPr>
      <w:rFonts w:hint="default" w:ascii="Times New Roman" w:hAnsi="Times New Roman" w:eastAsia="宋体" w:cs="Times New Roman"/>
    </w:rPr>
  </w:style>
  <w:style w:type="character" w:customStyle="1" w:styleId="22">
    <w:name w:val="10"/>
    <w:basedOn w:val="16"/>
    <w:uiPriority w:val="0"/>
    <w:rPr>
      <w:rFonts w:hint="default" w:ascii="Times New Roman" w:hAnsi="Times New Roman" w:eastAsia="宋体" w:cs="Times New Roman"/>
    </w:rPr>
  </w:style>
  <w:style w:type="paragraph" w:customStyle="1" w:styleId="23">
    <w:name w:val="居中"/>
    <w:basedOn w:val="1"/>
    <w:uiPriority w:val="0"/>
    <w:pPr>
      <w:numPr>
        <w:ilvl w:val="0"/>
        <w:numId w:val="2"/>
      </w:numPr>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endnotes" Target="endnotes.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41</Pages>
  <Words>20990</Words>
  <Characters>21203</Characters>
  <Lines>9</Lines>
  <Paragraphs>2</Paragraphs>
  <TotalTime>75</TotalTime>
  <ScaleCrop>false</ScaleCrop>
  <LinksUpToDate>false</LinksUpToDate>
  <CharactersWithSpaces>21363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2020-08-16T10:54:00Z</dcterms:created>
  <dc:creator>fjycadmin</dc:creator>
  <cp:lastModifiedBy>仙气的海瑟脸</cp:lastModifiedBy>
  <cp:lastPrinted>2023-09-18T01:07:11Z</cp:lastPrinted>
  <dcterms:modified xsi:type="dcterms:W3CDTF">2023-10-19T09:18:22Z</dcterms:modified>
  <dc:title>No:0000001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公文模板版本">
    <vt:lpwstr>20200227</vt:lpwstr>
  </property>
  <property fmtid="{D5CDD505-2E9C-101B-9397-08002B2CF9AE}" pid="4" name="ICV">
    <vt:lpwstr>9A06939CFCB94E54B213A05E3C96C394_13</vt:lpwstr>
  </property>
</Properties>
</file>